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5B24" w:rsidRDefault="00BF1806" w:rsidP="00A22932">
      <w:pPr>
        <w:pStyle w:val="CourtTitle"/>
      </w:pPr>
      <w:r>
        <w:rPr>
          <w:caps w:val="0"/>
        </w:rPr>
        <w:t>AUSTRALIAN COMPETITION TRIBUNAL</w:t>
      </w:r>
    </w:p>
    <w:p w:rsidR="004D7950" w:rsidRDefault="004D7950">
      <w:pPr>
        <w:pStyle w:val="NormalHeadings"/>
        <w:jc w:val="center"/>
        <w:rPr>
          <w:sz w:val="32"/>
        </w:rPr>
      </w:pPr>
    </w:p>
    <w:bookmarkStart w:id="0" w:name="MNC"/>
    <w:p w:rsidR="00374CC4" w:rsidRDefault="00BF1806" w:rsidP="001A2B40">
      <w:pPr>
        <w:pStyle w:val="MNC"/>
      </w:pPr>
      <w:sdt>
        <w:sdtPr>
          <w:alias w:val="MNC"/>
          <w:tag w:val="MNC"/>
          <w:id w:val="343289786"/>
          <w:lock w:val="sdtLocked"/>
          <w:placeholder>
            <w:docPart w:val="B47690DF32F7490FA48C4056E10E422B"/>
          </w:placeholder>
          <w:dataBinding w:prefixMappings="xmlns:ns0='http://schemas.globalmacros.com/FCA'" w:xpath="/ns0:root[1]/ns0:Name[1]" w:storeItemID="{687E7CCB-4AA5-44E7-B148-17BA2B6F57C0}"/>
          <w:text w:multiLine="1"/>
        </w:sdtPr>
        <w:sdtEndPr/>
        <w:sdtContent>
          <w:r w:rsidR="000C0278">
            <w:t xml:space="preserve"> Application by Port of Newcastle Operation</w:t>
          </w:r>
          <w:r w:rsidR="001C1BF1">
            <w:t>s Pty Ltd (No 3) [2022] ACompT 2</w:t>
          </w:r>
          <w:r w:rsidR="000C0278">
            <w:t xml:space="preserve">  </w:t>
          </w:r>
        </w:sdtContent>
      </w:sdt>
      <w:bookmarkEnd w:id="0"/>
    </w:p>
    <w:tbl>
      <w:tblPr>
        <w:tblW w:w="9073" w:type="dxa"/>
        <w:tblLayout w:type="fixed"/>
        <w:tblLook w:val="01E0" w:firstRow="1" w:lastRow="1" w:firstColumn="1" w:lastColumn="1" w:noHBand="0" w:noVBand="0"/>
      </w:tblPr>
      <w:tblGrid>
        <w:gridCol w:w="3084"/>
        <w:gridCol w:w="5989"/>
      </w:tblGrid>
      <w:tr w:rsidR="00395B24" w:rsidTr="00511E54">
        <w:tc>
          <w:tcPr>
            <w:tcW w:w="3084" w:type="dxa"/>
            <w:shd w:val="clear" w:color="auto" w:fill="auto"/>
          </w:tcPr>
          <w:p w:rsidR="00395B24" w:rsidRDefault="000C0278" w:rsidP="00663878">
            <w:pPr>
              <w:pStyle w:val="Normal1linespace"/>
              <w:widowControl w:val="0"/>
              <w:jc w:val="left"/>
            </w:pPr>
            <w:r>
              <w:t>Review from:</w:t>
            </w:r>
          </w:p>
        </w:tc>
        <w:tc>
          <w:tcPr>
            <w:tcW w:w="5989" w:type="dxa"/>
            <w:shd w:val="clear" w:color="auto" w:fill="auto"/>
          </w:tcPr>
          <w:p w:rsidR="00395B24" w:rsidRPr="000C0278" w:rsidRDefault="000C0278" w:rsidP="000C0278">
            <w:pPr>
              <w:pStyle w:val="Normal1linespace"/>
              <w:jc w:val="left"/>
            </w:pPr>
            <w:r w:rsidRPr="000C0278">
              <w:t xml:space="preserve">The arbitration determination by the Australian Competition and Consumer Commission under section 44ZP of the </w:t>
            </w:r>
            <w:r w:rsidRPr="000C0278">
              <w:rPr>
                <w:i/>
              </w:rPr>
              <w:t>Competition and Consumer Act 2010</w:t>
            </w:r>
            <w:r w:rsidRPr="000C0278">
              <w:t xml:space="preserve"> (Cth) in relation to an access dispute between Glencore Coal Assets Australia Pty Ltd and Port of Newcastle Operations Pty Ltd</w:t>
            </w:r>
          </w:p>
        </w:tc>
      </w:tr>
      <w:tr w:rsidR="000C0278" w:rsidTr="00511E54">
        <w:tc>
          <w:tcPr>
            <w:tcW w:w="3084" w:type="dxa"/>
            <w:shd w:val="clear" w:color="auto" w:fill="auto"/>
          </w:tcPr>
          <w:p w:rsidR="000C0278" w:rsidRDefault="000C0278" w:rsidP="00663878">
            <w:pPr>
              <w:pStyle w:val="Normal1linespace"/>
              <w:widowControl w:val="0"/>
              <w:jc w:val="left"/>
            </w:pPr>
          </w:p>
        </w:tc>
        <w:tc>
          <w:tcPr>
            <w:tcW w:w="5989" w:type="dxa"/>
            <w:shd w:val="clear" w:color="auto" w:fill="auto"/>
          </w:tcPr>
          <w:p w:rsidR="000C0278" w:rsidRPr="000C0278" w:rsidRDefault="000C0278" w:rsidP="000C0278">
            <w:pPr>
              <w:pStyle w:val="Normal1linespace"/>
              <w:jc w:val="left"/>
            </w:pPr>
          </w:p>
        </w:tc>
      </w:tr>
      <w:tr w:rsidR="000C0278" w:rsidTr="00511E54">
        <w:tc>
          <w:tcPr>
            <w:tcW w:w="3084" w:type="dxa"/>
            <w:shd w:val="clear" w:color="auto" w:fill="auto"/>
          </w:tcPr>
          <w:p w:rsidR="000C0278" w:rsidRDefault="000C0278" w:rsidP="000C0278">
            <w:pPr>
              <w:pStyle w:val="Normal1linespace"/>
              <w:widowControl w:val="0"/>
              <w:jc w:val="left"/>
            </w:pPr>
            <w:r>
              <w:t>File number</w:t>
            </w:r>
            <w:r w:rsidR="00DC4CFC">
              <w:t>s</w:t>
            </w:r>
            <w:r>
              <w:t>:</w:t>
            </w:r>
          </w:p>
        </w:tc>
        <w:tc>
          <w:tcPr>
            <w:tcW w:w="5989" w:type="dxa"/>
            <w:shd w:val="clear" w:color="auto" w:fill="auto"/>
          </w:tcPr>
          <w:p w:rsidR="000C0278" w:rsidRDefault="00BF1806" w:rsidP="00521E05">
            <w:pPr>
              <w:pStyle w:val="Normal1linespace"/>
              <w:jc w:val="left"/>
            </w:pPr>
            <w:r>
              <w:fldChar w:fldCharType="begin" w:fldLock="1"/>
            </w:r>
            <w:r>
              <w:instrText xml:space="preserve"> REF  FileNo  \* MERGEFORMAT </w:instrText>
            </w:r>
            <w:r>
              <w:fldChar w:fldCharType="separate"/>
            </w:r>
            <w:r w:rsidR="000C0278">
              <w:t xml:space="preserve">ACT 2 </w:t>
            </w:r>
            <w:r w:rsidR="000C0278" w:rsidRPr="000C0278">
              <w:t>of 2018</w:t>
            </w:r>
            <w:r>
              <w:fldChar w:fldCharType="end"/>
            </w:r>
          </w:p>
          <w:p w:rsidR="00521E05" w:rsidRPr="000C0278" w:rsidRDefault="00521E05" w:rsidP="00511E54">
            <w:pPr>
              <w:pStyle w:val="Normal1linespace"/>
              <w:jc w:val="left"/>
            </w:pPr>
            <w:r>
              <w:t>ACT 3 of 2018</w:t>
            </w:r>
          </w:p>
        </w:tc>
      </w:tr>
      <w:tr w:rsidR="000C0278" w:rsidTr="00511E54">
        <w:tc>
          <w:tcPr>
            <w:tcW w:w="3084" w:type="dxa"/>
            <w:shd w:val="clear" w:color="auto" w:fill="auto"/>
          </w:tcPr>
          <w:p w:rsidR="000C0278" w:rsidRDefault="000C0278" w:rsidP="000C0278">
            <w:pPr>
              <w:pStyle w:val="Normal1linespace"/>
              <w:widowControl w:val="0"/>
              <w:jc w:val="left"/>
            </w:pPr>
          </w:p>
        </w:tc>
        <w:tc>
          <w:tcPr>
            <w:tcW w:w="5989" w:type="dxa"/>
            <w:shd w:val="clear" w:color="auto" w:fill="auto"/>
          </w:tcPr>
          <w:p w:rsidR="000C0278" w:rsidRDefault="000C0278" w:rsidP="000C0278">
            <w:pPr>
              <w:pStyle w:val="Normal1linespace"/>
              <w:widowControl w:val="0"/>
              <w:jc w:val="left"/>
            </w:pPr>
          </w:p>
        </w:tc>
      </w:tr>
      <w:tr w:rsidR="000C0278" w:rsidTr="00511E54">
        <w:tc>
          <w:tcPr>
            <w:tcW w:w="3084" w:type="dxa"/>
            <w:shd w:val="clear" w:color="auto" w:fill="auto"/>
          </w:tcPr>
          <w:p w:rsidR="000C0278" w:rsidRDefault="000C0278" w:rsidP="000C0278">
            <w:pPr>
              <w:pStyle w:val="Normal1linespace"/>
              <w:widowControl w:val="0"/>
              <w:jc w:val="left"/>
            </w:pPr>
            <w:r>
              <w:t>Tribunal:</w:t>
            </w:r>
          </w:p>
        </w:tc>
        <w:tc>
          <w:tcPr>
            <w:tcW w:w="5989" w:type="dxa"/>
            <w:shd w:val="clear" w:color="auto" w:fill="auto"/>
          </w:tcPr>
          <w:p w:rsidR="000C0278" w:rsidRPr="000C0278" w:rsidRDefault="000C0278" w:rsidP="000C0278">
            <w:pPr>
              <w:pStyle w:val="Normal1linespace"/>
              <w:rPr>
                <w:b/>
              </w:rPr>
            </w:pPr>
            <w:r w:rsidRPr="000C0278">
              <w:rPr>
                <w:b/>
              </w:rPr>
              <w:fldChar w:fldCharType="begin" w:fldLock="1"/>
            </w:r>
            <w:r w:rsidRPr="000C0278">
              <w:rPr>
                <w:b/>
              </w:rPr>
              <w:instrText xml:space="preserve"> REF  Judge  \* MERGEFORMAT </w:instrText>
            </w:r>
            <w:r w:rsidRPr="000C0278">
              <w:rPr>
                <w:b/>
              </w:rPr>
              <w:fldChar w:fldCharType="separate"/>
            </w:r>
            <w:r w:rsidRPr="000C0278">
              <w:rPr>
                <w:b/>
              </w:rPr>
              <w:t>O'BRYAN J (Deputy President)</w:t>
            </w:r>
            <w:r w:rsidRPr="000C0278">
              <w:rPr>
                <w:b/>
              </w:rPr>
              <w:fldChar w:fldCharType="end"/>
            </w:r>
          </w:p>
          <w:p w:rsidR="000C0278" w:rsidRPr="000C0278" w:rsidRDefault="000C0278" w:rsidP="000C0278">
            <w:pPr>
              <w:pStyle w:val="Normal1linespace"/>
              <w:rPr>
                <w:b/>
              </w:rPr>
            </w:pPr>
            <w:r w:rsidRPr="000C0278">
              <w:rPr>
                <w:b/>
              </w:rPr>
              <w:t>DR D ABRAHAM (Member)</w:t>
            </w:r>
          </w:p>
          <w:p w:rsidR="000C0278" w:rsidRDefault="000C0278" w:rsidP="000C0278">
            <w:pPr>
              <w:pStyle w:val="Normal1linespace"/>
              <w:widowControl w:val="0"/>
              <w:jc w:val="left"/>
              <w:rPr>
                <w:b/>
              </w:rPr>
            </w:pPr>
            <w:r w:rsidRPr="000C0278">
              <w:rPr>
                <w:b/>
              </w:rPr>
              <w:t>PROF K DAVIS (Member)</w:t>
            </w:r>
          </w:p>
        </w:tc>
      </w:tr>
      <w:tr w:rsidR="000C0278" w:rsidTr="00511E54">
        <w:tc>
          <w:tcPr>
            <w:tcW w:w="3084" w:type="dxa"/>
            <w:shd w:val="clear" w:color="auto" w:fill="auto"/>
          </w:tcPr>
          <w:p w:rsidR="000C0278" w:rsidRDefault="000C0278" w:rsidP="000C0278">
            <w:pPr>
              <w:pStyle w:val="Normal1linespace"/>
              <w:widowControl w:val="0"/>
              <w:jc w:val="left"/>
            </w:pPr>
          </w:p>
        </w:tc>
        <w:tc>
          <w:tcPr>
            <w:tcW w:w="5989" w:type="dxa"/>
            <w:shd w:val="clear" w:color="auto" w:fill="auto"/>
          </w:tcPr>
          <w:p w:rsidR="000C0278" w:rsidRDefault="000C0278" w:rsidP="000C0278">
            <w:pPr>
              <w:pStyle w:val="Normal1linespace"/>
              <w:widowControl w:val="0"/>
              <w:jc w:val="left"/>
            </w:pPr>
          </w:p>
        </w:tc>
      </w:tr>
      <w:tr w:rsidR="000C0278" w:rsidTr="00511E54">
        <w:tc>
          <w:tcPr>
            <w:tcW w:w="3084" w:type="dxa"/>
            <w:shd w:val="clear" w:color="auto" w:fill="auto"/>
          </w:tcPr>
          <w:p w:rsidR="000C0278" w:rsidRDefault="000C0278" w:rsidP="000C0278">
            <w:pPr>
              <w:pStyle w:val="Normal1linespace"/>
              <w:widowControl w:val="0"/>
              <w:jc w:val="left"/>
            </w:pPr>
            <w:r>
              <w:t xml:space="preserve">Date of </w:t>
            </w:r>
            <w:r w:rsidR="00521E05">
              <w:t>Determination</w:t>
            </w:r>
            <w:r>
              <w:t>:</w:t>
            </w:r>
          </w:p>
        </w:tc>
        <w:tc>
          <w:tcPr>
            <w:tcW w:w="5989" w:type="dxa"/>
            <w:shd w:val="clear" w:color="auto" w:fill="auto"/>
          </w:tcPr>
          <w:p w:rsidR="000C0278" w:rsidRDefault="0065661C" w:rsidP="0065661C">
            <w:pPr>
              <w:pStyle w:val="Normal1linespace"/>
              <w:widowControl w:val="0"/>
              <w:jc w:val="left"/>
            </w:pPr>
            <w:bookmarkStart w:id="1" w:name="JudgmentDate"/>
            <w:bookmarkEnd w:id="1"/>
            <w:r>
              <w:t>5 April 2022</w:t>
            </w:r>
          </w:p>
        </w:tc>
      </w:tr>
      <w:tr w:rsidR="000C0278" w:rsidTr="00511E54">
        <w:tc>
          <w:tcPr>
            <w:tcW w:w="3084" w:type="dxa"/>
            <w:shd w:val="clear" w:color="auto" w:fill="auto"/>
          </w:tcPr>
          <w:p w:rsidR="000C0278" w:rsidRDefault="000C0278" w:rsidP="000C0278">
            <w:pPr>
              <w:pStyle w:val="Normal1linespace"/>
              <w:widowControl w:val="0"/>
              <w:jc w:val="left"/>
            </w:pPr>
          </w:p>
        </w:tc>
        <w:tc>
          <w:tcPr>
            <w:tcW w:w="5989" w:type="dxa"/>
            <w:shd w:val="clear" w:color="auto" w:fill="auto"/>
          </w:tcPr>
          <w:p w:rsidR="000C0278" w:rsidRDefault="000C0278" w:rsidP="000C0278">
            <w:pPr>
              <w:pStyle w:val="Normal1linespace"/>
              <w:widowControl w:val="0"/>
              <w:jc w:val="left"/>
            </w:pPr>
          </w:p>
        </w:tc>
      </w:tr>
      <w:tr w:rsidR="000C0278" w:rsidTr="00511E54">
        <w:tc>
          <w:tcPr>
            <w:tcW w:w="3084" w:type="dxa"/>
            <w:shd w:val="clear" w:color="auto" w:fill="auto"/>
          </w:tcPr>
          <w:p w:rsidR="000C0278" w:rsidRDefault="000C0278" w:rsidP="000C0278">
            <w:pPr>
              <w:pStyle w:val="Normal1linespace"/>
              <w:widowControl w:val="0"/>
              <w:jc w:val="left"/>
            </w:pPr>
            <w:r>
              <w:t>Catchwords:</w:t>
            </w:r>
          </w:p>
        </w:tc>
        <w:tc>
          <w:tcPr>
            <w:tcW w:w="5989" w:type="dxa"/>
            <w:shd w:val="clear" w:color="auto" w:fill="auto"/>
          </w:tcPr>
          <w:p w:rsidR="000C0278" w:rsidRDefault="00862D29" w:rsidP="00511E54">
            <w:pPr>
              <w:pStyle w:val="Normal1linespace"/>
              <w:widowControl w:val="0"/>
              <w:jc w:val="left"/>
            </w:pPr>
            <w:bookmarkStart w:id="2" w:name="Catchwords"/>
            <w:r w:rsidRPr="00862D29">
              <w:rPr>
                <w:b/>
              </w:rPr>
              <w:t>COMPETITION</w:t>
            </w:r>
            <w:r>
              <w:t xml:space="preserve"> – </w:t>
            </w:r>
            <w:r w:rsidR="00E901DA" w:rsidRPr="00E901DA">
              <w:t xml:space="preserve">where applications </w:t>
            </w:r>
            <w:r w:rsidR="00270401">
              <w:t xml:space="preserve">made </w:t>
            </w:r>
            <w:r w:rsidR="00E901DA" w:rsidRPr="00E901DA">
              <w:t xml:space="preserve">to </w:t>
            </w:r>
            <w:r w:rsidR="00A55896">
              <w:t xml:space="preserve">Australian Competition </w:t>
            </w:r>
            <w:r w:rsidR="00E901DA" w:rsidRPr="00E901DA">
              <w:t>Tribunal for review of arbitration determination made by the Australian Competition and Consumer Commission in respect of access dispute between provider and user of a declared service –</w:t>
            </w:r>
            <w:r w:rsidR="00A55896">
              <w:t xml:space="preserve"> where access dispute concerned amount of navigation service charge and wharfage charge at Port of Newcastle –</w:t>
            </w:r>
            <w:r w:rsidR="00E901DA" w:rsidRPr="00E901DA">
              <w:t xml:space="preserve"> where review conducted by</w:t>
            </w:r>
            <w:r w:rsidR="00270401">
              <w:t xml:space="preserve"> the Tribunal </w:t>
            </w:r>
            <w:r w:rsidR="00B15553">
              <w:t xml:space="preserve">by </w:t>
            </w:r>
            <w:r w:rsidR="00270401">
              <w:t>way of “re-arbitration”</w:t>
            </w:r>
            <w:r w:rsidR="00E901DA" w:rsidRPr="00E901DA">
              <w:t xml:space="preserve"> pursuant to s 44ZP of the </w:t>
            </w:r>
            <w:r w:rsidR="00E901DA" w:rsidRPr="00D37C76">
              <w:rPr>
                <w:i/>
              </w:rPr>
              <w:t>Competition and Consumer Act 2010</w:t>
            </w:r>
            <w:r w:rsidR="00E901DA" w:rsidRPr="00E901DA">
              <w:t xml:space="preserve"> (Cth) – where application made to Full Federal Court for judicial review of Tribunal’s arbitral determination – where Full Court set aside the determination of the Tribunal and remitted the applications to the Tribunal for re-determination according to law – where Full Court decision subsequently appealed to High Court of Australia – where High Court reinstated the Tribunal’s arbitral determination of the amount of</w:t>
            </w:r>
            <w:r w:rsidR="00A55896">
              <w:t xml:space="preserve"> the</w:t>
            </w:r>
            <w:r w:rsidR="00E901DA" w:rsidRPr="00E901DA">
              <w:t xml:space="preserve"> navigation service charge but remitted the question of scope of the navigation service charge to the Tribunal for re-determination – the Tribunal’s powers on the remitter – </w:t>
            </w:r>
            <w:r w:rsidR="00A55896">
              <w:t xml:space="preserve">orders made varying </w:t>
            </w:r>
            <w:r w:rsidR="00E901DA" w:rsidRPr="00E901DA">
              <w:t>final determination of Australian Compe</w:t>
            </w:r>
            <w:r w:rsidR="00A55896">
              <w:t>tition and Consumer Commission</w:t>
            </w:r>
            <w:r w:rsidR="00E901DA" w:rsidRPr="00E901DA">
              <w:t xml:space="preserve"> in manner sought by Port of Newcastle Operations Pty Ltd and not opposed by Glencore Coal Assets Australia Pty Ltd</w:t>
            </w:r>
            <w:r w:rsidR="000C0278">
              <w:t xml:space="preserve">   </w:t>
            </w:r>
            <w:bookmarkEnd w:id="2"/>
          </w:p>
        </w:tc>
      </w:tr>
      <w:tr w:rsidR="000C0278" w:rsidTr="00511E54">
        <w:tc>
          <w:tcPr>
            <w:tcW w:w="3084" w:type="dxa"/>
            <w:shd w:val="clear" w:color="auto" w:fill="auto"/>
          </w:tcPr>
          <w:p w:rsidR="000C0278" w:rsidRDefault="000C0278" w:rsidP="000C0278">
            <w:pPr>
              <w:pStyle w:val="Normal1linespace"/>
              <w:widowControl w:val="0"/>
              <w:jc w:val="left"/>
            </w:pPr>
          </w:p>
        </w:tc>
        <w:tc>
          <w:tcPr>
            <w:tcW w:w="5989" w:type="dxa"/>
            <w:shd w:val="clear" w:color="auto" w:fill="auto"/>
          </w:tcPr>
          <w:p w:rsidR="000C0278" w:rsidRDefault="000C0278" w:rsidP="000C0278">
            <w:pPr>
              <w:pStyle w:val="Normal1linespace"/>
              <w:widowControl w:val="0"/>
              <w:jc w:val="left"/>
            </w:pPr>
          </w:p>
        </w:tc>
      </w:tr>
      <w:tr w:rsidR="000C0278" w:rsidTr="00511E54">
        <w:tc>
          <w:tcPr>
            <w:tcW w:w="3084" w:type="dxa"/>
            <w:shd w:val="clear" w:color="auto" w:fill="auto"/>
          </w:tcPr>
          <w:p w:rsidR="000C0278" w:rsidRDefault="000C0278" w:rsidP="000C0278">
            <w:pPr>
              <w:pStyle w:val="Normal1linespace"/>
              <w:widowControl w:val="0"/>
              <w:jc w:val="left"/>
            </w:pPr>
            <w:r>
              <w:t>Legislation:</w:t>
            </w:r>
          </w:p>
        </w:tc>
        <w:tc>
          <w:tcPr>
            <w:tcW w:w="5989" w:type="dxa"/>
            <w:shd w:val="clear" w:color="auto" w:fill="auto"/>
          </w:tcPr>
          <w:p w:rsidR="00B15553" w:rsidRDefault="00B15553" w:rsidP="00E75A52">
            <w:pPr>
              <w:pStyle w:val="CasesLegislationAppealFrom"/>
              <w:spacing w:after="60"/>
            </w:pPr>
            <w:bookmarkStart w:id="3" w:name="Legislation"/>
            <w:r w:rsidRPr="00E75A52">
              <w:rPr>
                <w:i/>
              </w:rPr>
              <w:t xml:space="preserve">Administrative Appeals Tribunal Act 1975 </w:t>
            </w:r>
            <w:r>
              <w:t>(Cth) ss 43, 44</w:t>
            </w:r>
          </w:p>
          <w:p w:rsidR="00E75A52" w:rsidRDefault="00E75A52" w:rsidP="00E75A52">
            <w:pPr>
              <w:pStyle w:val="CasesLegislationAppealFrom"/>
              <w:spacing w:after="60"/>
            </w:pPr>
            <w:r w:rsidRPr="00E75A52">
              <w:rPr>
                <w:i/>
              </w:rPr>
              <w:t>Competition and Consumer Act 2010</w:t>
            </w:r>
            <w:r>
              <w:t xml:space="preserve"> (Cth) ss 44V, 44ZP, 44ZR</w:t>
            </w:r>
          </w:p>
          <w:p w:rsidR="000C0278" w:rsidRDefault="00E75A52" w:rsidP="00E75A52">
            <w:pPr>
              <w:pStyle w:val="CasesLegislationAppealFrom"/>
              <w:spacing w:after="60"/>
            </w:pPr>
            <w:r w:rsidRPr="00E75A52">
              <w:rPr>
                <w:i/>
              </w:rPr>
              <w:lastRenderedPageBreak/>
              <w:t xml:space="preserve">Ports and Maritime Administration Act 1995 </w:t>
            </w:r>
            <w:r>
              <w:t>(NSW) s</w:t>
            </w:r>
            <w:r w:rsidR="00B15553">
              <w:t>s</w:t>
            </w:r>
            <w:r>
              <w:t xml:space="preserve"> 48(4)(b), 67</w:t>
            </w:r>
            <w:r w:rsidR="000C0278">
              <w:t xml:space="preserve">   </w:t>
            </w:r>
            <w:bookmarkEnd w:id="3"/>
          </w:p>
        </w:tc>
      </w:tr>
      <w:tr w:rsidR="000C0278" w:rsidTr="00511E54">
        <w:tc>
          <w:tcPr>
            <w:tcW w:w="3084" w:type="dxa"/>
            <w:shd w:val="clear" w:color="auto" w:fill="auto"/>
          </w:tcPr>
          <w:p w:rsidR="000C0278" w:rsidRDefault="000C0278" w:rsidP="000C0278">
            <w:pPr>
              <w:pStyle w:val="Normal1linespace"/>
              <w:widowControl w:val="0"/>
              <w:jc w:val="left"/>
            </w:pPr>
          </w:p>
        </w:tc>
        <w:tc>
          <w:tcPr>
            <w:tcW w:w="5989" w:type="dxa"/>
            <w:shd w:val="clear" w:color="auto" w:fill="auto"/>
          </w:tcPr>
          <w:p w:rsidR="000C0278" w:rsidRDefault="000C0278" w:rsidP="000C0278">
            <w:pPr>
              <w:pStyle w:val="Normal1linespace"/>
              <w:widowControl w:val="0"/>
              <w:jc w:val="left"/>
            </w:pPr>
          </w:p>
        </w:tc>
      </w:tr>
      <w:tr w:rsidR="000C0278" w:rsidTr="00511E54">
        <w:tc>
          <w:tcPr>
            <w:tcW w:w="3084" w:type="dxa"/>
            <w:shd w:val="clear" w:color="auto" w:fill="auto"/>
          </w:tcPr>
          <w:p w:rsidR="000C0278" w:rsidRDefault="000C0278" w:rsidP="000C0278">
            <w:pPr>
              <w:pStyle w:val="Normal1linespace"/>
              <w:widowControl w:val="0"/>
              <w:jc w:val="left"/>
            </w:pPr>
            <w:r>
              <w:t>Cases cited:</w:t>
            </w:r>
          </w:p>
        </w:tc>
        <w:tc>
          <w:tcPr>
            <w:tcW w:w="5989" w:type="dxa"/>
            <w:shd w:val="clear" w:color="auto" w:fill="auto"/>
          </w:tcPr>
          <w:p w:rsidR="00C241F2" w:rsidRDefault="00C241F2" w:rsidP="00C241F2">
            <w:pPr>
              <w:pStyle w:val="CasesLegislationAppealFrom"/>
              <w:spacing w:after="60"/>
            </w:pPr>
            <w:bookmarkStart w:id="4" w:name="Cases_Cited"/>
            <w:r w:rsidRPr="00C241F2">
              <w:rPr>
                <w:i/>
              </w:rPr>
              <w:t>Application by Medicines Australia Inc</w:t>
            </w:r>
            <w:r>
              <w:t xml:space="preserve"> [2007] ACompT 4; ATPR 42-164</w:t>
            </w:r>
          </w:p>
          <w:p w:rsidR="00C241F2" w:rsidRDefault="00C241F2" w:rsidP="00C241F2">
            <w:pPr>
              <w:pStyle w:val="CasesLegislationAppealFrom"/>
              <w:spacing w:after="60"/>
            </w:pPr>
            <w:r w:rsidRPr="00C241F2">
              <w:rPr>
                <w:i/>
              </w:rPr>
              <w:t xml:space="preserve">Application by Port of Newcastle Operations Pty Ltd </w:t>
            </w:r>
            <w:r>
              <w:t>[2019] ACompT 1</w:t>
            </w:r>
          </w:p>
          <w:p w:rsidR="00C241F2" w:rsidRDefault="00C241F2" w:rsidP="00C241F2">
            <w:pPr>
              <w:pStyle w:val="CasesLegislationAppealFrom"/>
              <w:spacing w:after="60"/>
            </w:pPr>
            <w:r w:rsidRPr="00C241F2">
              <w:rPr>
                <w:i/>
              </w:rPr>
              <w:t>Australian Consumers’ Association’s Application (Re Media Council of Australia (No 2))</w:t>
            </w:r>
            <w:r>
              <w:t xml:space="preserve"> (1987) 82 ALR 115</w:t>
            </w:r>
          </w:p>
          <w:p w:rsidR="00C241F2" w:rsidRDefault="00C241F2" w:rsidP="00C241F2">
            <w:pPr>
              <w:pStyle w:val="CasesLegislationAppealFrom"/>
              <w:spacing w:after="60"/>
            </w:pPr>
            <w:r w:rsidRPr="00C241F2">
              <w:rPr>
                <w:i/>
              </w:rPr>
              <w:t xml:space="preserve">Comcare v Chambers (No 2) </w:t>
            </w:r>
            <w:r>
              <w:t>(2017) 156 ALD 197</w:t>
            </w:r>
          </w:p>
          <w:p w:rsidR="00C241F2" w:rsidRDefault="00C241F2" w:rsidP="00C241F2">
            <w:pPr>
              <w:pStyle w:val="CasesLegislationAppealFrom"/>
              <w:spacing w:after="60"/>
            </w:pPr>
            <w:r w:rsidRPr="00C241F2">
              <w:rPr>
                <w:i/>
              </w:rPr>
              <w:t>Glencore Coal Assets Australia Pty Ltd v Australian Competition Tribunal (</w:t>
            </w:r>
            <w:r>
              <w:t>2020) 280 FCR 194</w:t>
            </w:r>
          </w:p>
          <w:p w:rsidR="00C241F2" w:rsidRDefault="00C241F2" w:rsidP="00C241F2">
            <w:pPr>
              <w:pStyle w:val="CasesLegislationAppealFrom"/>
              <w:spacing w:after="60"/>
            </w:pPr>
            <w:r w:rsidRPr="00C241F2">
              <w:rPr>
                <w:i/>
              </w:rPr>
              <w:t>Minister for Immigration and Multicultural Affairs v Wang</w:t>
            </w:r>
            <w:r>
              <w:t xml:space="preserve"> (2003) 215 CLR 518</w:t>
            </w:r>
          </w:p>
          <w:p w:rsidR="00C241F2" w:rsidRDefault="00C241F2" w:rsidP="00C241F2">
            <w:pPr>
              <w:pStyle w:val="CasesLegislationAppealFrom"/>
              <w:spacing w:after="60"/>
            </w:pPr>
            <w:r w:rsidRPr="00C241F2">
              <w:rPr>
                <w:i/>
              </w:rPr>
              <w:t>O’Sullivan v Australian Securities and Investments Commission</w:t>
            </w:r>
            <w:r>
              <w:t xml:space="preserve"> (2018) 160 ALD 233</w:t>
            </w:r>
          </w:p>
          <w:p w:rsidR="00C241F2" w:rsidRDefault="00C241F2" w:rsidP="00C241F2">
            <w:pPr>
              <w:pStyle w:val="CasesLegislationAppealFrom"/>
              <w:spacing w:after="60"/>
            </w:pPr>
            <w:r w:rsidRPr="00C241F2">
              <w:rPr>
                <w:i/>
              </w:rPr>
              <w:t xml:space="preserve">Peacock v Repatriation Commission </w:t>
            </w:r>
            <w:r>
              <w:t>(2007) 161 FCR 256</w:t>
            </w:r>
          </w:p>
          <w:p w:rsidR="00C241F2" w:rsidRDefault="00C241F2" w:rsidP="00C241F2">
            <w:pPr>
              <w:pStyle w:val="CasesLegislationAppealFrom"/>
              <w:spacing w:after="60"/>
            </w:pPr>
            <w:r w:rsidRPr="00C241F2">
              <w:rPr>
                <w:i/>
              </w:rPr>
              <w:t xml:space="preserve">Port of Newcastle Operations Pty Ltd v Glencore Coal Assets Australia Pty Ltd </w:t>
            </w:r>
            <w:r>
              <w:t>[2021] HCA 39; 395 ALR 209</w:t>
            </w:r>
          </w:p>
          <w:p w:rsidR="00C241F2" w:rsidRDefault="00C241F2" w:rsidP="00C241F2">
            <w:pPr>
              <w:pStyle w:val="CasesLegislationAppealFrom"/>
              <w:spacing w:after="60"/>
            </w:pPr>
            <w:r w:rsidRPr="00C241F2">
              <w:rPr>
                <w:i/>
              </w:rPr>
              <w:t>Re Herald &amp; Weekly Times Ltd</w:t>
            </w:r>
            <w:r>
              <w:t xml:space="preserve"> (1978) 17 ALR 281</w:t>
            </w:r>
          </w:p>
          <w:p w:rsidR="00C241F2" w:rsidRDefault="00A412B6" w:rsidP="00C241F2">
            <w:pPr>
              <w:pStyle w:val="CasesLegislationAppealFrom"/>
              <w:spacing w:after="60"/>
            </w:pPr>
            <w:r>
              <w:rPr>
                <w:i/>
              </w:rPr>
              <w:t>Re Queensland Co</w:t>
            </w:r>
            <w:r w:rsidR="00B15553">
              <w:rPr>
                <w:i/>
              </w:rPr>
              <w:t>-</w:t>
            </w:r>
            <w:r w:rsidR="00C241F2" w:rsidRPr="00C241F2">
              <w:rPr>
                <w:i/>
              </w:rPr>
              <w:t xml:space="preserve">operative Milling Association Ltd </w:t>
            </w:r>
            <w:r w:rsidR="00C241F2">
              <w:t>(1976) 8 ALR 481</w:t>
            </w:r>
          </w:p>
          <w:p w:rsidR="000C0278" w:rsidRDefault="00C241F2" w:rsidP="00C241F2">
            <w:pPr>
              <w:pStyle w:val="CasesLegislationAppealFrom"/>
              <w:spacing w:after="60"/>
            </w:pPr>
            <w:r w:rsidRPr="00C241F2">
              <w:rPr>
                <w:i/>
              </w:rPr>
              <w:t xml:space="preserve">Shi v Migration Agents Registration Authority </w:t>
            </w:r>
            <w:r>
              <w:t>(2008) 235 CLR 286</w:t>
            </w:r>
            <w:r w:rsidR="000C0278">
              <w:t xml:space="preserve">   </w:t>
            </w:r>
            <w:bookmarkEnd w:id="4"/>
          </w:p>
        </w:tc>
      </w:tr>
      <w:tr w:rsidR="000C0278" w:rsidTr="00511E54">
        <w:tc>
          <w:tcPr>
            <w:tcW w:w="3084" w:type="dxa"/>
            <w:shd w:val="clear" w:color="auto" w:fill="auto"/>
          </w:tcPr>
          <w:p w:rsidR="000C0278" w:rsidRDefault="000C0278" w:rsidP="000C0278">
            <w:pPr>
              <w:pStyle w:val="Normal1linespace"/>
              <w:widowControl w:val="0"/>
            </w:pPr>
          </w:p>
        </w:tc>
        <w:tc>
          <w:tcPr>
            <w:tcW w:w="5989" w:type="dxa"/>
            <w:shd w:val="clear" w:color="auto" w:fill="auto"/>
          </w:tcPr>
          <w:p w:rsidR="000C0278" w:rsidRDefault="000C0278" w:rsidP="000C0278">
            <w:pPr>
              <w:pStyle w:val="Normal1linespace"/>
              <w:widowControl w:val="0"/>
              <w:jc w:val="left"/>
            </w:pPr>
          </w:p>
        </w:tc>
      </w:tr>
      <w:tr w:rsidR="000C0278" w:rsidTr="00511E54">
        <w:tc>
          <w:tcPr>
            <w:tcW w:w="3084" w:type="dxa"/>
            <w:shd w:val="clear" w:color="auto" w:fill="auto"/>
          </w:tcPr>
          <w:p w:rsidR="000C0278" w:rsidRDefault="000C0278" w:rsidP="000C0278">
            <w:pPr>
              <w:pStyle w:val="Normal1linespace"/>
              <w:widowControl w:val="0"/>
            </w:pPr>
            <w:r>
              <w:t>Number of paragraphs:</w:t>
            </w:r>
          </w:p>
        </w:tc>
        <w:tc>
          <w:tcPr>
            <w:tcW w:w="5989" w:type="dxa"/>
            <w:shd w:val="clear" w:color="auto" w:fill="auto"/>
          </w:tcPr>
          <w:p w:rsidR="000C0278" w:rsidRDefault="00511E54" w:rsidP="00C86577">
            <w:pPr>
              <w:pStyle w:val="Normal1linespace"/>
              <w:widowControl w:val="0"/>
              <w:jc w:val="left"/>
            </w:pPr>
            <w:bookmarkStart w:id="5" w:name="PlaceCategoryParagraphs"/>
            <w:r>
              <w:t>3</w:t>
            </w:r>
            <w:r w:rsidR="00C86577">
              <w:t>5</w:t>
            </w:r>
            <w:bookmarkEnd w:id="5"/>
          </w:p>
        </w:tc>
      </w:tr>
      <w:tr w:rsidR="000C0278" w:rsidTr="00511E54">
        <w:tc>
          <w:tcPr>
            <w:tcW w:w="3084" w:type="dxa"/>
            <w:shd w:val="clear" w:color="auto" w:fill="auto"/>
          </w:tcPr>
          <w:p w:rsidR="000C0278" w:rsidRDefault="000C0278" w:rsidP="000C0278">
            <w:pPr>
              <w:pStyle w:val="Normal1linespace"/>
              <w:widowControl w:val="0"/>
              <w:jc w:val="left"/>
            </w:pPr>
          </w:p>
        </w:tc>
        <w:tc>
          <w:tcPr>
            <w:tcW w:w="5989" w:type="dxa"/>
            <w:shd w:val="clear" w:color="auto" w:fill="auto"/>
          </w:tcPr>
          <w:p w:rsidR="000C0278" w:rsidRDefault="000C0278" w:rsidP="000C0278">
            <w:pPr>
              <w:pStyle w:val="Normal1linespace"/>
              <w:widowControl w:val="0"/>
              <w:jc w:val="left"/>
            </w:pPr>
          </w:p>
        </w:tc>
      </w:tr>
      <w:tr w:rsidR="000C0278" w:rsidTr="00511E54">
        <w:tc>
          <w:tcPr>
            <w:tcW w:w="3084" w:type="dxa"/>
            <w:shd w:val="clear" w:color="auto" w:fill="auto"/>
          </w:tcPr>
          <w:p w:rsidR="000C0278" w:rsidRDefault="000C0278" w:rsidP="000C0278">
            <w:pPr>
              <w:pStyle w:val="Normal1linespace"/>
              <w:widowControl w:val="0"/>
              <w:jc w:val="left"/>
            </w:pPr>
            <w:r>
              <w:t>Date of last submissions:</w:t>
            </w:r>
          </w:p>
        </w:tc>
        <w:tc>
          <w:tcPr>
            <w:tcW w:w="5989" w:type="dxa"/>
            <w:shd w:val="clear" w:color="auto" w:fill="auto"/>
          </w:tcPr>
          <w:p w:rsidR="000C0278" w:rsidRDefault="000C0278" w:rsidP="000C0278">
            <w:pPr>
              <w:pStyle w:val="Normal1linespace"/>
              <w:widowControl w:val="0"/>
              <w:jc w:val="left"/>
            </w:pPr>
            <w:r>
              <w:t>14 March 2022</w:t>
            </w:r>
          </w:p>
        </w:tc>
      </w:tr>
      <w:tr w:rsidR="000C0278" w:rsidTr="00511E54">
        <w:tc>
          <w:tcPr>
            <w:tcW w:w="3084" w:type="dxa"/>
            <w:shd w:val="clear" w:color="auto" w:fill="auto"/>
          </w:tcPr>
          <w:p w:rsidR="000C0278" w:rsidRDefault="000C0278" w:rsidP="000C0278">
            <w:pPr>
              <w:pStyle w:val="Normal1linespace"/>
              <w:widowControl w:val="0"/>
              <w:jc w:val="left"/>
            </w:pPr>
          </w:p>
        </w:tc>
        <w:tc>
          <w:tcPr>
            <w:tcW w:w="5989" w:type="dxa"/>
            <w:shd w:val="clear" w:color="auto" w:fill="auto"/>
          </w:tcPr>
          <w:p w:rsidR="000C0278" w:rsidRDefault="000C0278" w:rsidP="000C0278">
            <w:pPr>
              <w:pStyle w:val="Normal1linespace"/>
              <w:widowControl w:val="0"/>
              <w:jc w:val="left"/>
            </w:pPr>
          </w:p>
        </w:tc>
      </w:tr>
      <w:tr w:rsidR="000C0278" w:rsidTr="00511E54">
        <w:tc>
          <w:tcPr>
            <w:tcW w:w="3084" w:type="dxa"/>
            <w:shd w:val="clear" w:color="auto" w:fill="auto"/>
          </w:tcPr>
          <w:p w:rsidR="000C0278" w:rsidRDefault="000C0278" w:rsidP="000C0278">
            <w:pPr>
              <w:pStyle w:val="Normal1linespace"/>
              <w:widowControl w:val="0"/>
              <w:jc w:val="left"/>
            </w:pPr>
            <w:bookmarkStart w:id="6" w:name="CounselDate" w:colFirst="0" w:colLast="2"/>
            <w:r w:rsidRPr="006A24E3">
              <w:t>Date of hearing:</w:t>
            </w:r>
          </w:p>
        </w:tc>
        <w:tc>
          <w:tcPr>
            <w:tcW w:w="5989" w:type="dxa"/>
            <w:shd w:val="clear" w:color="auto" w:fill="auto"/>
          </w:tcPr>
          <w:p w:rsidR="000C0278" w:rsidRDefault="000C0278" w:rsidP="000C0278">
            <w:pPr>
              <w:pStyle w:val="Normal1linespace"/>
              <w:widowControl w:val="0"/>
              <w:jc w:val="left"/>
            </w:pPr>
            <w:bookmarkStart w:id="7" w:name="HearingDate"/>
            <w:r>
              <w:t xml:space="preserve">Determined on the papers </w:t>
            </w:r>
            <w:bookmarkEnd w:id="7"/>
          </w:p>
        </w:tc>
      </w:tr>
      <w:tr w:rsidR="000C0278" w:rsidTr="00511E54">
        <w:tc>
          <w:tcPr>
            <w:tcW w:w="3084" w:type="dxa"/>
            <w:shd w:val="clear" w:color="auto" w:fill="auto"/>
          </w:tcPr>
          <w:p w:rsidR="000C0278" w:rsidRDefault="000C0278" w:rsidP="000C0278">
            <w:pPr>
              <w:pStyle w:val="Normal1linespace"/>
              <w:widowControl w:val="0"/>
              <w:jc w:val="left"/>
            </w:pPr>
          </w:p>
        </w:tc>
        <w:tc>
          <w:tcPr>
            <w:tcW w:w="5989" w:type="dxa"/>
            <w:shd w:val="clear" w:color="auto" w:fill="auto"/>
          </w:tcPr>
          <w:p w:rsidR="000C0278" w:rsidRDefault="000C0278" w:rsidP="000C0278">
            <w:pPr>
              <w:pStyle w:val="Normal1linespace"/>
              <w:widowControl w:val="0"/>
              <w:jc w:val="left"/>
            </w:pPr>
          </w:p>
        </w:tc>
      </w:tr>
      <w:tr w:rsidR="000C0278" w:rsidTr="00511E54">
        <w:tc>
          <w:tcPr>
            <w:tcW w:w="3084" w:type="dxa"/>
            <w:shd w:val="clear" w:color="auto" w:fill="auto"/>
          </w:tcPr>
          <w:p w:rsidR="000C0278" w:rsidRDefault="000C0278" w:rsidP="000C0278">
            <w:pPr>
              <w:pStyle w:val="Normal1linespace"/>
              <w:widowControl w:val="0"/>
              <w:jc w:val="left"/>
            </w:pPr>
            <w:r>
              <w:t>Counsel for Port of Newcastle Operations Pty Ltd:</w:t>
            </w:r>
          </w:p>
        </w:tc>
        <w:tc>
          <w:tcPr>
            <w:tcW w:w="5989" w:type="dxa"/>
            <w:shd w:val="clear" w:color="auto" w:fill="auto"/>
          </w:tcPr>
          <w:p w:rsidR="000C0278" w:rsidRDefault="000C0278" w:rsidP="000C0278">
            <w:pPr>
              <w:pStyle w:val="Normal1linespace"/>
              <w:widowControl w:val="0"/>
              <w:jc w:val="left"/>
            </w:pPr>
            <w:bookmarkStart w:id="8" w:name="AppCounsel"/>
            <w:bookmarkEnd w:id="8"/>
            <w:r w:rsidRPr="0091223B">
              <w:t>Mr CA Moore SC with Dr DJ Roche</w:t>
            </w:r>
          </w:p>
        </w:tc>
      </w:tr>
      <w:tr w:rsidR="000C0278" w:rsidTr="00511E54">
        <w:tc>
          <w:tcPr>
            <w:tcW w:w="3084" w:type="dxa"/>
            <w:shd w:val="clear" w:color="auto" w:fill="auto"/>
          </w:tcPr>
          <w:p w:rsidR="000C0278" w:rsidRDefault="000C0278" w:rsidP="000C0278">
            <w:pPr>
              <w:pStyle w:val="Normal1linespace"/>
              <w:widowControl w:val="0"/>
              <w:jc w:val="left"/>
            </w:pPr>
          </w:p>
        </w:tc>
        <w:tc>
          <w:tcPr>
            <w:tcW w:w="5989" w:type="dxa"/>
            <w:shd w:val="clear" w:color="auto" w:fill="auto"/>
          </w:tcPr>
          <w:p w:rsidR="000C0278" w:rsidRDefault="000C0278" w:rsidP="000C0278">
            <w:pPr>
              <w:pStyle w:val="Normal1linespace"/>
              <w:widowControl w:val="0"/>
              <w:jc w:val="left"/>
            </w:pPr>
          </w:p>
        </w:tc>
      </w:tr>
      <w:tr w:rsidR="000C0278" w:rsidTr="00511E54">
        <w:tc>
          <w:tcPr>
            <w:tcW w:w="3084" w:type="dxa"/>
            <w:shd w:val="clear" w:color="auto" w:fill="auto"/>
          </w:tcPr>
          <w:p w:rsidR="000C0278" w:rsidRDefault="000C0278" w:rsidP="000C0278">
            <w:pPr>
              <w:pStyle w:val="Normal1linespace"/>
              <w:widowControl w:val="0"/>
              <w:jc w:val="left"/>
            </w:pPr>
            <w:r>
              <w:t>Solicitor</w:t>
            </w:r>
            <w:r w:rsidR="003C4FEF">
              <w:t xml:space="preserve"> for</w:t>
            </w:r>
            <w:r>
              <w:t xml:space="preserve"> Port of Newcastle Operations Pty Ltd:</w:t>
            </w:r>
          </w:p>
        </w:tc>
        <w:tc>
          <w:tcPr>
            <w:tcW w:w="5989" w:type="dxa"/>
            <w:shd w:val="clear" w:color="auto" w:fill="auto"/>
          </w:tcPr>
          <w:p w:rsidR="000C0278" w:rsidRDefault="000C0278" w:rsidP="000C0278">
            <w:pPr>
              <w:pStyle w:val="Normal1linespace"/>
              <w:widowControl w:val="0"/>
              <w:jc w:val="left"/>
            </w:pPr>
            <w:r>
              <w:t>Clayton Utz</w:t>
            </w:r>
          </w:p>
        </w:tc>
      </w:tr>
      <w:tr w:rsidR="000C0278" w:rsidTr="00511E54">
        <w:tc>
          <w:tcPr>
            <w:tcW w:w="3084" w:type="dxa"/>
            <w:shd w:val="clear" w:color="auto" w:fill="auto"/>
          </w:tcPr>
          <w:p w:rsidR="000C0278" w:rsidRDefault="000C0278" w:rsidP="000C0278">
            <w:pPr>
              <w:pStyle w:val="Normal1linespace"/>
              <w:widowControl w:val="0"/>
              <w:jc w:val="left"/>
            </w:pPr>
          </w:p>
        </w:tc>
        <w:tc>
          <w:tcPr>
            <w:tcW w:w="5989" w:type="dxa"/>
            <w:shd w:val="clear" w:color="auto" w:fill="auto"/>
          </w:tcPr>
          <w:p w:rsidR="000C0278" w:rsidRDefault="000C0278" w:rsidP="000C0278">
            <w:pPr>
              <w:pStyle w:val="Normal1linespace"/>
              <w:widowControl w:val="0"/>
              <w:jc w:val="left"/>
            </w:pPr>
          </w:p>
        </w:tc>
      </w:tr>
      <w:tr w:rsidR="000C0278" w:rsidTr="00511E54">
        <w:tc>
          <w:tcPr>
            <w:tcW w:w="3084" w:type="dxa"/>
            <w:shd w:val="clear" w:color="auto" w:fill="auto"/>
          </w:tcPr>
          <w:p w:rsidR="000C0278" w:rsidRDefault="000C0278" w:rsidP="000C0278">
            <w:pPr>
              <w:pStyle w:val="Normal1linespace"/>
              <w:widowControl w:val="0"/>
              <w:jc w:val="left"/>
            </w:pPr>
            <w:r>
              <w:t>Counsel for Glencore Coal Assets Australia Pty Ltd:</w:t>
            </w:r>
          </w:p>
        </w:tc>
        <w:tc>
          <w:tcPr>
            <w:tcW w:w="5989" w:type="dxa"/>
            <w:shd w:val="clear" w:color="auto" w:fill="auto"/>
          </w:tcPr>
          <w:p w:rsidR="000C0278" w:rsidRDefault="000C0278" w:rsidP="00521E05">
            <w:pPr>
              <w:pStyle w:val="Normal1linespace"/>
              <w:widowControl w:val="0"/>
              <w:jc w:val="left"/>
            </w:pPr>
            <w:r w:rsidRPr="0091223B">
              <w:t>Mr N De Young SC</w:t>
            </w:r>
          </w:p>
        </w:tc>
      </w:tr>
      <w:tr w:rsidR="000C0278" w:rsidTr="00511E54">
        <w:tc>
          <w:tcPr>
            <w:tcW w:w="3084" w:type="dxa"/>
            <w:shd w:val="clear" w:color="auto" w:fill="auto"/>
          </w:tcPr>
          <w:p w:rsidR="000C0278" w:rsidRDefault="000C0278" w:rsidP="000C0278">
            <w:pPr>
              <w:pStyle w:val="Normal1linespace"/>
              <w:widowControl w:val="0"/>
              <w:jc w:val="left"/>
            </w:pPr>
          </w:p>
        </w:tc>
        <w:tc>
          <w:tcPr>
            <w:tcW w:w="5989" w:type="dxa"/>
            <w:shd w:val="clear" w:color="auto" w:fill="auto"/>
          </w:tcPr>
          <w:p w:rsidR="000C0278" w:rsidRDefault="000C0278" w:rsidP="000C0278">
            <w:pPr>
              <w:pStyle w:val="Normal1linespace"/>
              <w:widowControl w:val="0"/>
              <w:jc w:val="left"/>
            </w:pPr>
          </w:p>
        </w:tc>
      </w:tr>
      <w:tr w:rsidR="000C0278" w:rsidTr="00511E54">
        <w:tc>
          <w:tcPr>
            <w:tcW w:w="3084" w:type="dxa"/>
            <w:shd w:val="clear" w:color="auto" w:fill="auto"/>
          </w:tcPr>
          <w:p w:rsidR="000C0278" w:rsidRDefault="000C0278" w:rsidP="000C0278">
            <w:pPr>
              <w:pStyle w:val="Normal1linespace"/>
              <w:widowControl w:val="0"/>
              <w:jc w:val="left"/>
            </w:pPr>
            <w:r>
              <w:t>Solicitor</w:t>
            </w:r>
            <w:r w:rsidR="00D37C76">
              <w:t xml:space="preserve"> for</w:t>
            </w:r>
            <w:r>
              <w:t xml:space="preserve"> Glencore Coal Assets Australia Pty Ltd:</w:t>
            </w:r>
          </w:p>
        </w:tc>
        <w:tc>
          <w:tcPr>
            <w:tcW w:w="5989" w:type="dxa"/>
            <w:shd w:val="clear" w:color="auto" w:fill="auto"/>
          </w:tcPr>
          <w:p w:rsidR="000C0278" w:rsidRDefault="000C0278" w:rsidP="000C0278">
            <w:pPr>
              <w:pStyle w:val="Normal1linespace"/>
              <w:widowControl w:val="0"/>
              <w:jc w:val="left"/>
            </w:pPr>
            <w:r>
              <w:t>Clifford Chance</w:t>
            </w:r>
          </w:p>
        </w:tc>
      </w:tr>
      <w:tr w:rsidR="000C0278" w:rsidTr="00511E54">
        <w:tc>
          <w:tcPr>
            <w:tcW w:w="3084" w:type="dxa"/>
            <w:shd w:val="clear" w:color="auto" w:fill="auto"/>
          </w:tcPr>
          <w:p w:rsidR="000C0278" w:rsidRDefault="000C0278" w:rsidP="000C0278">
            <w:pPr>
              <w:pStyle w:val="Normal1linespace"/>
              <w:widowControl w:val="0"/>
              <w:jc w:val="left"/>
            </w:pPr>
          </w:p>
        </w:tc>
        <w:tc>
          <w:tcPr>
            <w:tcW w:w="5989" w:type="dxa"/>
            <w:shd w:val="clear" w:color="auto" w:fill="auto"/>
          </w:tcPr>
          <w:p w:rsidR="000C0278" w:rsidRDefault="000C0278" w:rsidP="000C0278">
            <w:pPr>
              <w:pStyle w:val="Normal1linespace"/>
              <w:widowControl w:val="0"/>
              <w:jc w:val="left"/>
            </w:pPr>
          </w:p>
        </w:tc>
      </w:tr>
      <w:tr w:rsidR="000C0278" w:rsidTr="00511E54">
        <w:tc>
          <w:tcPr>
            <w:tcW w:w="3084" w:type="dxa"/>
            <w:shd w:val="clear" w:color="auto" w:fill="auto"/>
          </w:tcPr>
          <w:p w:rsidR="000C0278" w:rsidRDefault="000C0278" w:rsidP="000C0278">
            <w:pPr>
              <w:pStyle w:val="Normal1linespace"/>
              <w:widowControl w:val="0"/>
              <w:jc w:val="left"/>
            </w:pPr>
            <w:r>
              <w:t xml:space="preserve">Counsel for Australian Competition and Consumer </w:t>
            </w:r>
            <w:r>
              <w:lastRenderedPageBreak/>
              <w:t>Commission:</w:t>
            </w:r>
          </w:p>
        </w:tc>
        <w:tc>
          <w:tcPr>
            <w:tcW w:w="5989" w:type="dxa"/>
            <w:shd w:val="clear" w:color="auto" w:fill="auto"/>
          </w:tcPr>
          <w:p w:rsidR="000C0278" w:rsidRDefault="000C0278" w:rsidP="000C0278">
            <w:pPr>
              <w:pStyle w:val="Normal1linespace"/>
              <w:widowControl w:val="0"/>
              <w:jc w:val="left"/>
            </w:pPr>
            <w:r>
              <w:lastRenderedPageBreak/>
              <w:t>Ms C Dermody</w:t>
            </w:r>
          </w:p>
        </w:tc>
      </w:tr>
      <w:tr w:rsidR="000C0278" w:rsidTr="00511E54">
        <w:tc>
          <w:tcPr>
            <w:tcW w:w="3084" w:type="dxa"/>
            <w:shd w:val="clear" w:color="auto" w:fill="auto"/>
          </w:tcPr>
          <w:p w:rsidR="000C0278" w:rsidRDefault="000C0278" w:rsidP="000C0278">
            <w:pPr>
              <w:pStyle w:val="Normal1linespace"/>
              <w:widowControl w:val="0"/>
              <w:jc w:val="left"/>
            </w:pPr>
          </w:p>
        </w:tc>
        <w:tc>
          <w:tcPr>
            <w:tcW w:w="5989" w:type="dxa"/>
            <w:shd w:val="clear" w:color="auto" w:fill="auto"/>
          </w:tcPr>
          <w:p w:rsidR="000C0278" w:rsidRDefault="000C0278" w:rsidP="000C0278">
            <w:pPr>
              <w:pStyle w:val="Normal1linespace"/>
              <w:widowControl w:val="0"/>
              <w:jc w:val="left"/>
            </w:pPr>
          </w:p>
        </w:tc>
      </w:tr>
      <w:tr w:rsidR="000C0278" w:rsidTr="00511E54">
        <w:tc>
          <w:tcPr>
            <w:tcW w:w="3084" w:type="dxa"/>
            <w:shd w:val="clear" w:color="auto" w:fill="auto"/>
          </w:tcPr>
          <w:p w:rsidR="000C0278" w:rsidRDefault="000C0278" w:rsidP="000C0278">
            <w:pPr>
              <w:pStyle w:val="Normal1linespace"/>
              <w:widowControl w:val="0"/>
              <w:jc w:val="left"/>
            </w:pPr>
            <w:r>
              <w:t>Solicitor for Australian Competition and Consumer Commission:</w:t>
            </w:r>
          </w:p>
        </w:tc>
        <w:tc>
          <w:tcPr>
            <w:tcW w:w="5989" w:type="dxa"/>
            <w:shd w:val="clear" w:color="auto" w:fill="auto"/>
          </w:tcPr>
          <w:p w:rsidR="000C0278" w:rsidRDefault="000C0278" w:rsidP="000C0278">
            <w:pPr>
              <w:pStyle w:val="Normal1linespace"/>
              <w:widowControl w:val="0"/>
              <w:jc w:val="left"/>
            </w:pPr>
            <w:r>
              <w:t>DLA Piper Australia</w:t>
            </w:r>
          </w:p>
        </w:tc>
      </w:tr>
    </w:tbl>
    <w:p w:rsidR="00B17D6E" w:rsidRDefault="00B17D6E">
      <w:pPr>
        <w:pStyle w:val="Normal1linespace"/>
      </w:pPr>
      <w:bookmarkStart w:id="9" w:name="CompletionTable"/>
      <w:bookmarkEnd w:id="6"/>
    </w:p>
    <w:bookmarkEnd w:id="9"/>
    <w:p w:rsidR="007470BD" w:rsidRDefault="007470BD">
      <w:pPr>
        <w:pStyle w:val="Normal1linespace"/>
      </w:pPr>
    </w:p>
    <w:p w:rsidR="00E94CBF" w:rsidRDefault="00E94CBF">
      <w:pPr>
        <w:pStyle w:val="Normal1linespace"/>
      </w:pPr>
    </w:p>
    <w:p w:rsidR="00395B24" w:rsidRDefault="00395B24">
      <w:pPr>
        <w:pStyle w:val="Normal1linespace"/>
        <w:sectPr w:rsidR="00395B24" w:rsidSect="001F2473">
          <w:headerReference w:type="even" r:id="rId9"/>
          <w:headerReference w:type="default" r:id="rId10"/>
          <w:footerReference w:type="even" r:id="rId11"/>
          <w:footerReference w:type="default" r:id="rId12"/>
          <w:headerReference w:type="first" r:id="rId13"/>
          <w:footerReference w:type="first" r:id="rId14"/>
          <w:endnotePr>
            <w:numFmt w:val="decimal"/>
          </w:endnotePr>
          <w:type w:val="continuous"/>
          <w:pgSz w:w="11907" w:h="16840" w:code="9"/>
          <w:pgMar w:top="1440" w:right="1440" w:bottom="1440" w:left="1440" w:header="851" w:footer="768" w:gutter="0"/>
          <w:pgNumType w:start="1"/>
          <w:cols w:space="720"/>
          <w:noEndnote/>
          <w:titlePg/>
        </w:sectPr>
      </w:pPr>
    </w:p>
    <w:tbl>
      <w:tblPr>
        <w:tblW w:w="9314" w:type="dxa"/>
        <w:tblInd w:w="-284" w:type="dxa"/>
        <w:tblLayout w:type="fixed"/>
        <w:tblCellMar>
          <w:left w:w="0" w:type="dxa"/>
          <w:right w:w="0" w:type="dxa"/>
        </w:tblCellMar>
        <w:tblLook w:val="0000" w:firstRow="0" w:lastRow="0" w:firstColumn="0" w:lastColumn="0" w:noHBand="0" w:noVBand="0"/>
      </w:tblPr>
      <w:tblGrid>
        <w:gridCol w:w="2269"/>
        <w:gridCol w:w="7045"/>
      </w:tblGrid>
      <w:tr w:rsidR="00B0518C" w:rsidRPr="00B0518C" w:rsidTr="00A412B6">
        <w:trPr>
          <w:trHeight w:val="549"/>
        </w:trPr>
        <w:tc>
          <w:tcPr>
            <w:tcW w:w="9314" w:type="dxa"/>
            <w:gridSpan w:val="2"/>
          </w:tcPr>
          <w:p w:rsidR="00B0518C" w:rsidRPr="00B0518C" w:rsidRDefault="00B0518C" w:rsidP="00B0518C">
            <w:pPr>
              <w:kinsoku w:val="0"/>
              <w:overflowPunct w:val="0"/>
              <w:autoSpaceDE w:val="0"/>
              <w:autoSpaceDN w:val="0"/>
              <w:adjustRightInd w:val="0"/>
              <w:spacing w:before="130" w:line="240" w:lineRule="auto"/>
              <w:ind w:left="200"/>
              <w:jc w:val="left"/>
              <w:rPr>
                <w:rFonts w:eastAsia="Times New Roman"/>
                <w:szCs w:val="24"/>
              </w:rPr>
            </w:pPr>
            <w:r w:rsidRPr="00B0518C">
              <w:rPr>
                <w:rFonts w:eastAsia="Times New Roman"/>
                <w:b/>
                <w:bCs/>
                <w:szCs w:val="24"/>
              </w:rPr>
              <w:lastRenderedPageBreak/>
              <w:t>IN THE AUSTRALIAN COMPETITION TRIBUNAL</w:t>
            </w:r>
          </w:p>
        </w:tc>
      </w:tr>
      <w:tr w:rsidR="00B0518C" w:rsidRPr="00B0518C" w:rsidTr="00406546">
        <w:trPr>
          <w:trHeight w:val="549"/>
        </w:trPr>
        <w:tc>
          <w:tcPr>
            <w:tcW w:w="2269" w:type="dxa"/>
          </w:tcPr>
          <w:p w:rsidR="00B0518C" w:rsidRPr="00B0518C" w:rsidRDefault="00B0518C" w:rsidP="00B0518C">
            <w:pPr>
              <w:kinsoku w:val="0"/>
              <w:overflowPunct w:val="0"/>
              <w:autoSpaceDE w:val="0"/>
              <w:autoSpaceDN w:val="0"/>
              <w:adjustRightInd w:val="0"/>
              <w:spacing w:before="130" w:line="240" w:lineRule="auto"/>
              <w:ind w:left="200"/>
              <w:jc w:val="left"/>
              <w:rPr>
                <w:rFonts w:eastAsia="Times New Roman"/>
                <w:szCs w:val="24"/>
              </w:rPr>
            </w:pPr>
          </w:p>
        </w:tc>
        <w:tc>
          <w:tcPr>
            <w:tcW w:w="7045" w:type="dxa"/>
          </w:tcPr>
          <w:p w:rsidR="00B0518C" w:rsidRPr="00406546" w:rsidRDefault="00B0518C" w:rsidP="00406546">
            <w:pPr>
              <w:kinsoku w:val="0"/>
              <w:overflowPunct w:val="0"/>
              <w:autoSpaceDE w:val="0"/>
              <w:autoSpaceDN w:val="0"/>
              <w:adjustRightInd w:val="0"/>
              <w:spacing w:before="130" w:line="240" w:lineRule="auto"/>
              <w:ind w:left="539"/>
              <w:jc w:val="right"/>
              <w:rPr>
                <w:rFonts w:eastAsia="Times New Roman"/>
                <w:b/>
                <w:szCs w:val="24"/>
              </w:rPr>
            </w:pPr>
            <w:r w:rsidRPr="00406546">
              <w:rPr>
                <w:rFonts w:eastAsia="Times New Roman"/>
                <w:b/>
                <w:szCs w:val="24"/>
              </w:rPr>
              <w:t>ACT 2 of 2018</w:t>
            </w:r>
          </w:p>
        </w:tc>
      </w:tr>
      <w:tr w:rsidR="00B0518C" w:rsidRPr="00B0518C" w:rsidTr="00406546">
        <w:trPr>
          <w:trHeight w:val="1546"/>
        </w:trPr>
        <w:tc>
          <w:tcPr>
            <w:tcW w:w="2269" w:type="dxa"/>
          </w:tcPr>
          <w:p w:rsidR="00B0518C" w:rsidRPr="00406546" w:rsidRDefault="00B0518C" w:rsidP="00B0518C">
            <w:pPr>
              <w:kinsoku w:val="0"/>
              <w:overflowPunct w:val="0"/>
              <w:autoSpaceDE w:val="0"/>
              <w:autoSpaceDN w:val="0"/>
              <w:adjustRightInd w:val="0"/>
              <w:spacing w:before="133" w:line="240" w:lineRule="auto"/>
              <w:ind w:left="200"/>
              <w:jc w:val="left"/>
              <w:rPr>
                <w:rFonts w:eastAsia="Times New Roman"/>
                <w:b/>
                <w:szCs w:val="24"/>
              </w:rPr>
            </w:pPr>
            <w:r w:rsidRPr="00406546">
              <w:rPr>
                <w:rFonts w:eastAsia="Times New Roman"/>
                <w:b/>
                <w:szCs w:val="24"/>
              </w:rPr>
              <w:t>Re:</w:t>
            </w:r>
          </w:p>
        </w:tc>
        <w:tc>
          <w:tcPr>
            <w:tcW w:w="7045" w:type="dxa"/>
          </w:tcPr>
          <w:p w:rsidR="00B0518C" w:rsidRPr="00406546" w:rsidRDefault="00406546" w:rsidP="00A412B6">
            <w:pPr>
              <w:kinsoku w:val="0"/>
              <w:overflowPunct w:val="0"/>
              <w:autoSpaceDE w:val="0"/>
              <w:autoSpaceDN w:val="0"/>
              <w:adjustRightInd w:val="0"/>
              <w:spacing w:line="240" w:lineRule="auto"/>
              <w:ind w:left="539" w:right="179"/>
              <w:jc w:val="left"/>
              <w:rPr>
                <w:rFonts w:eastAsia="Times New Roman"/>
                <w:b/>
                <w:szCs w:val="24"/>
              </w:rPr>
            </w:pPr>
            <w:r w:rsidRPr="00406546">
              <w:rPr>
                <w:rFonts w:eastAsia="Times New Roman"/>
                <w:b/>
                <w:szCs w:val="24"/>
              </w:rPr>
              <w:t xml:space="preserve">APPLICATION BY PORT OF NEWCASTLE OPERATIONS PTY LTD UNDER SECTION 44ZP OF THE </w:t>
            </w:r>
            <w:r w:rsidRPr="00406546">
              <w:rPr>
                <w:rFonts w:eastAsia="Times New Roman"/>
                <w:b/>
                <w:i/>
                <w:iCs/>
                <w:szCs w:val="24"/>
              </w:rPr>
              <w:t xml:space="preserve">COMPETITION AND CONSUMER ACT 2010 </w:t>
            </w:r>
            <w:r w:rsidRPr="00406546">
              <w:rPr>
                <w:rFonts w:eastAsia="Times New Roman"/>
                <w:b/>
                <w:szCs w:val="24"/>
              </w:rPr>
              <w:t>(CTH) FOR REVIEW OF THE ARBITRATION DETERMINATION BY THE AUSTRALIAN COMPETITION AND CONSUMER COMMISSION IN RELATION TO AN ACCESS DISPUTE BETWEEN GLENCORE COAL LTD AND PORT OF NEWCASTLE OPERATIONS PTY LTD</w:t>
            </w:r>
          </w:p>
        </w:tc>
      </w:tr>
      <w:tr w:rsidR="00B0518C" w:rsidRPr="00B0518C" w:rsidTr="00406546">
        <w:trPr>
          <w:trHeight w:val="599"/>
        </w:trPr>
        <w:tc>
          <w:tcPr>
            <w:tcW w:w="2269" w:type="dxa"/>
          </w:tcPr>
          <w:p w:rsidR="00B0518C" w:rsidRPr="00406546" w:rsidRDefault="00B0518C" w:rsidP="00B0518C">
            <w:pPr>
              <w:kinsoku w:val="0"/>
              <w:overflowPunct w:val="0"/>
              <w:autoSpaceDE w:val="0"/>
              <w:autoSpaceDN w:val="0"/>
              <w:adjustRightInd w:val="0"/>
              <w:spacing w:before="133" w:line="256" w:lineRule="exact"/>
              <w:ind w:left="200"/>
              <w:jc w:val="left"/>
              <w:rPr>
                <w:rFonts w:eastAsia="Times New Roman"/>
                <w:b/>
                <w:szCs w:val="24"/>
              </w:rPr>
            </w:pPr>
          </w:p>
        </w:tc>
        <w:tc>
          <w:tcPr>
            <w:tcW w:w="7045" w:type="dxa"/>
          </w:tcPr>
          <w:p w:rsidR="00B0518C" w:rsidRDefault="00406546" w:rsidP="00B0518C">
            <w:pPr>
              <w:kinsoku w:val="0"/>
              <w:overflowPunct w:val="0"/>
              <w:autoSpaceDE w:val="0"/>
              <w:autoSpaceDN w:val="0"/>
              <w:adjustRightInd w:val="0"/>
              <w:spacing w:before="133" w:line="256" w:lineRule="exact"/>
              <w:ind w:left="539"/>
              <w:jc w:val="left"/>
              <w:rPr>
                <w:rFonts w:eastAsia="Times New Roman"/>
                <w:b/>
                <w:szCs w:val="24"/>
              </w:rPr>
            </w:pPr>
            <w:r w:rsidRPr="00406546">
              <w:rPr>
                <w:rFonts w:eastAsia="Times New Roman"/>
                <w:b/>
                <w:szCs w:val="24"/>
              </w:rPr>
              <w:t>PORT OF NEWCASTLE OPERATIONS PTY LTD</w:t>
            </w:r>
          </w:p>
          <w:p w:rsidR="00406546" w:rsidRPr="00406546" w:rsidRDefault="00406546" w:rsidP="00B0518C">
            <w:pPr>
              <w:kinsoku w:val="0"/>
              <w:overflowPunct w:val="0"/>
              <w:autoSpaceDE w:val="0"/>
              <w:autoSpaceDN w:val="0"/>
              <w:adjustRightInd w:val="0"/>
              <w:spacing w:before="133" w:line="256" w:lineRule="exact"/>
              <w:ind w:left="539"/>
              <w:jc w:val="left"/>
              <w:rPr>
                <w:rFonts w:eastAsia="Times New Roman"/>
                <w:b/>
                <w:szCs w:val="24"/>
              </w:rPr>
            </w:pPr>
            <w:r w:rsidRPr="00B0518C">
              <w:rPr>
                <w:rFonts w:eastAsia="Times New Roman"/>
                <w:szCs w:val="24"/>
              </w:rPr>
              <w:t>Applicant:</w:t>
            </w:r>
          </w:p>
        </w:tc>
      </w:tr>
      <w:tr w:rsidR="00B0518C" w:rsidRPr="00B0518C" w:rsidTr="00406546">
        <w:trPr>
          <w:trHeight w:val="455"/>
        </w:trPr>
        <w:tc>
          <w:tcPr>
            <w:tcW w:w="2269" w:type="dxa"/>
          </w:tcPr>
          <w:p w:rsidR="00B0518C" w:rsidRPr="00406546" w:rsidRDefault="00B0518C" w:rsidP="00B0518C">
            <w:pPr>
              <w:kinsoku w:val="0"/>
              <w:overflowPunct w:val="0"/>
              <w:autoSpaceDE w:val="0"/>
              <w:autoSpaceDN w:val="0"/>
              <w:adjustRightInd w:val="0"/>
              <w:spacing w:before="133" w:line="256" w:lineRule="exact"/>
              <w:ind w:left="200"/>
              <w:jc w:val="left"/>
              <w:rPr>
                <w:rFonts w:eastAsia="Times New Roman"/>
                <w:b/>
                <w:szCs w:val="24"/>
              </w:rPr>
            </w:pPr>
            <w:r w:rsidRPr="00406546">
              <w:rPr>
                <w:rFonts w:eastAsia="Times New Roman"/>
                <w:b/>
                <w:szCs w:val="24"/>
              </w:rPr>
              <w:t>AND</w:t>
            </w:r>
          </w:p>
        </w:tc>
        <w:tc>
          <w:tcPr>
            <w:tcW w:w="7045" w:type="dxa"/>
          </w:tcPr>
          <w:p w:rsidR="00B0518C" w:rsidRPr="00B0518C" w:rsidRDefault="00B0518C" w:rsidP="00406546">
            <w:pPr>
              <w:kinsoku w:val="0"/>
              <w:overflowPunct w:val="0"/>
              <w:autoSpaceDE w:val="0"/>
              <w:autoSpaceDN w:val="0"/>
              <w:adjustRightInd w:val="0"/>
              <w:spacing w:line="256" w:lineRule="exact"/>
              <w:ind w:left="539"/>
              <w:jc w:val="left"/>
              <w:rPr>
                <w:rFonts w:eastAsia="Times New Roman"/>
                <w:szCs w:val="24"/>
              </w:rPr>
            </w:pPr>
          </w:p>
        </w:tc>
      </w:tr>
      <w:tr w:rsidR="00B0518C" w:rsidRPr="00B0518C" w:rsidTr="00406546">
        <w:trPr>
          <w:trHeight w:val="599"/>
        </w:trPr>
        <w:tc>
          <w:tcPr>
            <w:tcW w:w="2269" w:type="dxa"/>
          </w:tcPr>
          <w:p w:rsidR="00B0518C" w:rsidRPr="00406546" w:rsidRDefault="00B0518C" w:rsidP="00B0518C">
            <w:pPr>
              <w:kinsoku w:val="0"/>
              <w:overflowPunct w:val="0"/>
              <w:autoSpaceDE w:val="0"/>
              <w:autoSpaceDN w:val="0"/>
              <w:adjustRightInd w:val="0"/>
              <w:spacing w:before="130" w:line="240" w:lineRule="auto"/>
              <w:ind w:left="200"/>
              <w:jc w:val="left"/>
              <w:rPr>
                <w:rFonts w:eastAsia="Times New Roman"/>
                <w:b/>
                <w:szCs w:val="24"/>
              </w:rPr>
            </w:pPr>
          </w:p>
        </w:tc>
        <w:tc>
          <w:tcPr>
            <w:tcW w:w="7045" w:type="dxa"/>
          </w:tcPr>
          <w:p w:rsidR="00B0518C" w:rsidRPr="00406546" w:rsidRDefault="00B0518C" w:rsidP="00406546">
            <w:pPr>
              <w:kinsoku w:val="0"/>
              <w:overflowPunct w:val="0"/>
              <w:autoSpaceDE w:val="0"/>
              <w:autoSpaceDN w:val="0"/>
              <w:adjustRightInd w:val="0"/>
              <w:spacing w:before="130" w:line="240" w:lineRule="auto"/>
              <w:ind w:left="539"/>
              <w:jc w:val="right"/>
              <w:rPr>
                <w:rFonts w:eastAsia="Times New Roman"/>
                <w:b/>
                <w:szCs w:val="24"/>
              </w:rPr>
            </w:pPr>
            <w:r w:rsidRPr="00406546">
              <w:rPr>
                <w:rFonts w:eastAsia="Times New Roman"/>
                <w:b/>
                <w:szCs w:val="24"/>
              </w:rPr>
              <w:t>ACT 3 of 2018</w:t>
            </w:r>
          </w:p>
        </w:tc>
      </w:tr>
      <w:tr w:rsidR="00B0518C" w:rsidRPr="00B0518C" w:rsidTr="00406546">
        <w:trPr>
          <w:trHeight w:val="1801"/>
        </w:trPr>
        <w:tc>
          <w:tcPr>
            <w:tcW w:w="2269" w:type="dxa"/>
          </w:tcPr>
          <w:p w:rsidR="00B0518C" w:rsidRPr="00406546" w:rsidRDefault="00B0518C" w:rsidP="00B0518C">
            <w:pPr>
              <w:kinsoku w:val="0"/>
              <w:overflowPunct w:val="0"/>
              <w:autoSpaceDE w:val="0"/>
              <w:autoSpaceDN w:val="0"/>
              <w:adjustRightInd w:val="0"/>
              <w:spacing w:before="133" w:line="240" w:lineRule="auto"/>
              <w:ind w:left="200"/>
              <w:jc w:val="left"/>
              <w:rPr>
                <w:rFonts w:eastAsia="Times New Roman"/>
                <w:b/>
                <w:szCs w:val="24"/>
              </w:rPr>
            </w:pPr>
            <w:r w:rsidRPr="00406546">
              <w:rPr>
                <w:rFonts w:eastAsia="Times New Roman"/>
                <w:b/>
                <w:szCs w:val="24"/>
              </w:rPr>
              <w:t>Re:</w:t>
            </w:r>
          </w:p>
        </w:tc>
        <w:tc>
          <w:tcPr>
            <w:tcW w:w="7045" w:type="dxa"/>
          </w:tcPr>
          <w:p w:rsidR="00B0518C" w:rsidRPr="00406546" w:rsidRDefault="00406546" w:rsidP="00B0518C">
            <w:pPr>
              <w:kinsoku w:val="0"/>
              <w:overflowPunct w:val="0"/>
              <w:autoSpaceDE w:val="0"/>
              <w:autoSpaceDN w:val="0"/>
              <w:adjustRightInd w:val="0"/>
              <w:spacing w:line="240" w:lineRule="auto"/>
              <w:ind w:left="539" w:right="179"/>
              <w:jc w:val="left"/>
              <w:rPr>
                <w:rFonts w:eastAsia="Times New Roman"/>
                <w:b/>
                <w:szCs w:val="24"/>
              </w:rPr>
            </w:pPr>
            <w:r w:rsidRPr="00406546">
              <w:rPr>
                <w:rFonts w:eastAsia="Times New Roman"/>
                <w:b/>
                <w:szCs w:val="24"/>
              </w:rPr>
              <w:t>APPLICATION BY GLENCORE COAL ASSETS AUSTRALIA PTY LTD UNDER</w:t>
            </w:r>
            <w:r>
              <w:rPr>
                <w:rFonts w:eastAsia="Times New Roman"/>
                <w:b/>
                <w:szCs w:val="24"/>
              </w:rPr>
              <w:t xml:space="preserve"> </w:t>
            </w:r>
            <w:r w:rsidRPr="00406546">
              <w:rPr>
                <w:rFonts w:eastAsia="Times New Roman"/>
                <w:b/>
                <w:szCs w:val="24"/>
              </w:rPr>
              <w:t xml:space="preserve">SECTION 44ZP OF THE </w:t>
            </w:r>
            <w:r w:rsidRPr="00406546">
              <w:rPr>
                <w:rFonts w:eastAsia="Times New Roman"/>
                <w:b/>
                <w:i/>
                <w:szCs w:val="24"/>
              </w:rPr>
              <w:t>COMPETITION AND CONSUMER ACT 2010</w:t>
            </w:r>
            <w:r w:rsidRPr="00406546">
              <w:rPr>
                <w:rFonts w:eastAsia="Times New Roman"/>
                <w:b/>
                <w:szCs w:val="24"/>
              </w:rPr>
              <w:t xml:space="preserve"> (CTH) FOR REVIEW OF THE ARBITRATION DETERMINATION BY THE AUSTRALIAN</w:t>
            </w:r>
            <w:r>
              <w:rPr>
                <w:rFonts w:eastAsia="Times New Roman"/>
                <w:b/>
                <w:szCs w:val="24"/>
              </w:rPr>
              <w:t xml:space="preserve"> </w:t>
            </w:r>
            <w:r w:rsidRPr="00406546">
              <w:rPr>
                <w:rFonts w:eastAsia="Times New Roman"/>
                <w:b/>
                <w:szCs w:val="24"/>
              </w:rPr>
              <w:t>COMPETITION AND CONSUMER COMMISSION IN RELATION TO AN ACCESS</w:t>
            </w:r>
          </w:p>
          <w:p w:rsidR="00B0518C" w:rsidRPr="00406546" w:rsidRDefault="00406546" w:rsidP="00406546">
            <w:pPr>
              <w:kinsoku w:val="0"/>
              <w:overflowPunct w:val="0"/>
              <w:autoSpaceDE w:val="0"/>
              <w:autoSpaceDN w:val="0"/>
              <w:adjustRightInd w:val="0"/>
              <w:spacing w:line="240" w:lineRule="auto"/>
              <w:ind w:left="539" w:right="179"/>
              <w:jc w:val="left"/>
              <w:rPr>
                <w:rFonts w:eastAsia="Times New Roman"/>
                <w:b/>
                <w:szCs w:val="24"/>
              </w:rPr>
            </w:pPr>
            <w:r w:rsidRPr="00406546">
              <w:rPr>
                <w:rFonts w:eastAsia="Times New Roman"/>
                <w:b/>
                <w:szCs w:val="24"/>
              </w:rPr>
              <w:t>DISPUTE BETWEEN GLENCORE COAL LTD AND PORT OF NEWCASTLE</w:t>
            </w:r>
            <w:r>
              <w:rPr>
                <w:rFonts w:eastAsia="Times New Roman"/>
                <w:b/>
                <w:szCs w:val="24"/>
              </w:rPr>
              <w:t xml:space="preserve"> </w:t>
            </w:r>
            <w:r w:rsidRPr="00406546">
              <w:rPr>
                <w:rFonts w:eastAsia="Times New Roman"/>
                <w:b/>
                <w:szCs w:val="24"/>
              </w:rPr>
              <w:t>OPERATIONS PTY LTD</w:t>
            </w:r>
          </w:p>
        </w:tc>
      </w:tr>
      <w:tr w:rsidR="00B0518C" w:rsidRPr="00B0518C" w:rsidTr="00406546">
        <w:trPr>
          <w:trHeight w:val="408"/>
        </w:trPr>
        <w:tc>
          <w:tcPr>
            <w:tcW w:w="2269" w:type="dxa"/>
          </w:tcPr>
          <w:p w:rsidR="00B0518C" w:rsidRPr="00B0518C" w:rsidRDefault="00B0518C" w:rsidP="00B0518C">
            <w:pPr>
              <w:kinsoku w:val="0"/>
              <w:overflowPunct w:val="0"/>
              <w:autoSpaceDE w:val="0"/>
              <w:autoSpaceDN w:val="0"/>
              <w:adjustRightInd w:val="0"/>
              <w:spacing w:before="133" w:line="256" w:lineRule="exact"/>
              <w:ind w:left="200"/>
              <w:jc w:val="left"/>
              <w:rPr>
                <w:rFonts w:eastAsia="Times New Roman"/>
                <w:szCs w:val="24"/>
              </w:rPr>
            </w:pPr>
          </w:p>
        </w:tc>
        <w:tc>
          <w:tcPr>
            <w:tcW w:w="7045" w:type="dxa"/>
          </w:tcPr>
          <w:p w:rsidR="00B0518C" w:rsidRPr="00406546" w:rsidRDefault="00406546" w:rsidP="00B0518C">
            <w:pPr>
              <w:kinsoku w:val="0"/>
              <w:overflowPunct w:val="0"/>
              <w:autoSpaceDE w:val="0"/>
              <w:autoSpaceDN w:val="0"/>
              <w:adjustRightInd w:val="0"/>
              <w:spacing w:before="133" w:line="256" w:lineRule="exact"/>
              <w:ind w:left="539"/>
              <w:jc w:val="left"/>
              <w:rPr>
                <w:rFonts w:eastAsia="Times New Roman"/>
                <w:b/>
                <w:szCs w:val="24"/>
              </w:rPr>
            </w:pPr>
            <w:r w:rsidRPr="00406546">
              <w:rPr>
                <w:rFonts w:eastAsia="Times New Roman"/>
                <w:b/>
                <w:szCs w:val="24"/>
              </w:rPr>
              <w:t>GLENCORE COAL ASSETS AUSTRALIA PTY LTD</w:t>
            </w:r>
          </w:p>
          <w:p w:rsidR="00B0518C" w:rsidRPr="00406546" w:rsidRDefault="00406546" w:rsidP="00B0518C">
            <w:pPr>
              <w:kinsoku w:val="0"/>
              <w:overflowPunct w:val="0"/>
              <w:autoSpaceDE w:val="0"/>
              <w:autoSpaceDN w:val="0"/>
              <w:adjustRightInd w:val="0"/>
              <w:spacing w:before="133" w:line="256" w:lineRule="exact"/>
              <w:ind w:left="539"/>
              <w:jc w:val="left"/>
              <w:rPr>
                <w:rFonts w:eastAsia="Times New Roman"/>
                <w:b/>
                <w:szCs w:val="24"/>
              </w:rPr>
            </w:pPr>
            <w:r w:rsidRPr="00B0518C">
              <w:rPr>
                <w:rFonts w:eastAsia="Times New Roman"/>
                <w:szCs w:val="24"/>
              </w:rPr>
              <w:t>Applicant:</w:t>
            </w:r>
          </w:p>
        </w:tc>
      </w:tr>
    </w:tbl>
    <w:p w:rsidR="00B0518C" w:rsidRDefault="00BF1806" w:rsidP="00F67BC1">
      <w:pPr>
        <w:pStyle w:val="OrdersHeading1"/>
        <w:jc w:val="center"/>
      </w:pPr>
      <w:r>
        <w:rPr>
          <w:caps w:val="0"/>
        </w:rPr>
        <w:t>DETERMINATION</w:t>
      </w:r>
      <w:bookmarkStart w:id="10" w:name="_GoBack"/>
      <w:bookmarkEnd w:id="10"/>
    </w:p>
    <w:tbl>
      <w:tblPr>
        <w:tblW w:w="9526" w:type="dxa"/>
        <w:tblInd w:w="-284" w:type="dxa"/>
        <w:tblLayout w:type="fixed"/>
        <w:tblLook w:val="0000" w:firstRow="0" w:lastRow="0" w:firstColumn="0" w:lastColumn="0" w:noHBand="0" w:noVBand="0"/>
      </w:tblPr>
      <w:tblGrid>
        <w:gridCol w:w="2411"/>
        <w:gridCol w:w="7115"/>
      </w:tblGrid>
      <w:tr w:rsidR="00B0518C" w:rsidTr="00A412B6">
        <w:tc>
          <w:tcPr>
            <w:tcW w:w="2411" w:type="dxa"/>
          </w:tcPr>
          <w:p w:rsidR="00B0518C" w:rsidRPr="00406546" w:rsidRDefault="00B0518C" w:rsidP="00B0518C">
            <w:pPr>
              <w:kinsoku w:val="0"/>
              <w:overflowPunct w:val="0"/>
              <w:autoSpaceDE w:val="0"/>
              <w:autoSpaceDN w:val="0"/>
              <w:adjustRightInd w:val="0"/>
              <w:spacing w:before="133" w:line="256" w:lineRule="exact"/>
              <w:jc w:val="left"/>
              <w:rPr>
                <w:b/>
              </w:rPr>
            </w:pPr>
            <w:bookmarkStart w:id="11" w:name="InsertParties"/>
            <w:bookmarkEnd w:id="11"/>
            <w:r w:rsidRPr="00406546">
              <w:rPr>
                <w:b/>
              </w:rPr>
              <w:t>TRIBUNAL:</w:t>
            </w:r>
          </w:p>
        </w:tc>
        <w:tc>
          <w:tcPr>
            <w:tcW w:w="7115" w:type="dxa"/>
          </w:tcPr>
          <w:p w:rsidR="00B0518C" w:rsidRPr="00406546" w:rsidRDefault="00406546" w:rsidP="00B0518C">
            <w:pPr>
              <w:kinsoku w:val="0"/>
              <w:overflowPunct w:val="0"/>
              <w:autoSpaceDE w:val="0"/>
              <w:autoSpaceDN w:val="0"/>
              <w:adjustRightInd w:val="0"/>
              <w:spacing w:before="133" w:line="256" w:lineRule="exact"/>
              <w:ind w:left="320"/>
              <w:jc w:val="left"/>
              <w:rPr>
                <w:rFonts w:eastAsia="Times New Roman"/>
                <w:b/>
                <w:szCs w:val="24"/>
              </w:rPr>
            </w:pPr>
            <w:bookmarkStart w:id="12" w:name="Order_Coram"/>
            <w:r w:rsidRPr="00406546">
              <w:rPr>
                <w:rFonts w:eastAsia="Times New Roman"/>
                <w:b/>
                <w:szCs w:val="24"/>
              </w:rPr>
              <w:t>JUSTICE O’BRYAN</w:t>
            </w:r>
            <w:bookmarkEnd w:id="12"/>
            <w:r w:rsidRPr="00406546">
              <w:rPr>
                <w:rFonts w:eastAsia="Times New Roman"/>
                <w:b/>
                <w:szCs w:val="24"/>
              </w:rPr>
              <w:t xml:space="preserve"> (Deputy President)</w:t>
            </w:r>
          </w:p>
          <w:p w:rsidR="00B0518C" w:rsidRPr="00406546" w:rsidRDefault="00406546" w:rsidP="00B0518C">
            <w:pPr>
              <w:kinsoku w:val="0"/>
              <w:overflowPunct w:val="0"/>
              <w:autoSpaceDE w:val="0"/>
              <w:autoSpaceDN w:val="0"/>
              <w:adjustRightInd w:val="0"/>
              <w:spacing w:before="133" w:line="256" w:lineRule="exact"/>
              <w:ind w:left="320"/>
              <w:jc w:val="left"/>
              <w:rPr>
                <w:rFonts w:eastAsia="Times New Roman"/>
                <w:b/>
                <w:szCs w:val="24"/>
              </w:rPr>
            </w:pPr>
            <w:r w:rsidRPr="00406546">
              <w:rPr>
                <w:rFonts w:eastAsia="Times New Roman"/>
                <w:b/>
                <w:szCs w:val="24"/>
              </w:rPr>
              <w:t>DR D ABRAHAM (Member)</w:t>
            </w:r>
          </w:p>
          <w:p w:rsidR="00B0518C" w:rsidRPr="00406546" w:rsidRDefault="00406546" w:rsidP="00B0518C">
            <w:pPr>
              <w:kinsoku w:val="0"/>
              <w:overflowPunct w:val="0"/>
              <w:autoSpaceDE w:val="0"/>
              <w:autoSpaceDN w:val="0"/>
              <w:adjustRightInd w:val="0"/>
              <w:spacing w:before="133" w:line="256" w:lineRule="exact"/>
              <w:ind w:left="320"/>
              <w:jc w:val="left"/>
              <w:rPr>
                <w:rFonts w:eastAsia="Times New Roman"/>
                <w:b/>
                <w:szCs w:val="24"/>
              </w:rPr>
            </w:pPr>
            <w:r w:rsidRPr="00406546">
              <w:rPr>
                <w:rFonts w:eastAsia="Times New Roman"/>
                <w:b/>
                <w:szCs w:val="24"/>
              </w:rPr>
              <w:t>PROF K DAVIS (Member)</w:t>
            </w:r>
          </w:p>
          <w:p w:rsidR="00B0518C" w:rsidRPr="00406546" w:rsidRDefault="00B0518C" w:rsidP="00F568DD">
            <w:pPr>
              <w:pStyle w:val="NormalHeadings"/>
              <w:widowControl/>
              <w:jc w:val="left"/>
            </w:pPr>
          </w:p>
        </w:tc>
      </w:tr>
      <w:tr w:rsidR="00B0518C" w:rsidTr="00406546">
        <w:trPr>
          <w:trHeight w:val="523"/>
        </w:trPr>
        <w:tc>
          <w:tcPr>
            <w:tcW w:w="2411" w:type="dxa"/>
          </w:tcPr>
          <w:p w:rsidR="00B0518C" w:rsidRPr="00406546" w:rsidRDefault="00B0518C" w:rsidP="00521E05">
            <w:pPr>
              <w:pStyle w:val="NormalHeadings"/>
              <w:widowControl/>
              <w:spacing w:after="120"/>
              <w:jc w:val="left"/>
            </w:pPr>
            <w:r w:rsidRPr="00406546">
              <w:t>DATE OF D</w:t>
            </w:r>
            <w:r w:rsidR="00A412B6" w:rsidRPr="00406546">
              <w:t>ETERMINATION</w:t>
            </w:r>
            <w:r w:rsidRPr="00406546">
              <w:t>:</w:t>
            </w:r>
          </w:p>
        </w:tc>
        <w:tc>
          <w:tcPr>
            <w:tcW w:w="7115" w:type="dxa"/>
          </w:tcPr>
          <w:p w:rsidR="00B0518C" w:rsidRPr="00406546" w:rsidRDefault="00406546" w:rsidP="00B0518C">
            <w:pPr>
              <w:kinsoku w:val="0"/>
              <w:overflowPunct w:val="0"/>
              <w:autoSpaceDE w:val="0"/>
              <w:autoSpaceDN w:val="0"/>
              <w:adjustRightInd w:val="0"/>
              <w:spacing w:before="133" w:line="256" w:lineRule="exact"/>
              <w:ind w:left="320"/>
              <w:jc w:val="left"/>
              <w:rPr>
                <w:b/>
              </w:rPr>
            </w:pPr>
            <w:r w:rsidRPr="00406546">
              <w:rPr>
                <w:b/>
              </w:rPr>
              <w:t>5 APRIL 2022</w:t>
            </w:r>
          </w:p>
        </w:tc>
      </w:tr>
    </w:tbl>
    <w:p w:rsidR="00B0518C" w:rsidRDefault="00B0518C" w:rsidP="00B0518C">
      <w:pPr>
        <w:pStyle w:val="NormalHeadings"/>
        <w:widowControl/>
        <w:rPr>
          <w:b w:val="0"/>
        </w:rPr>
      </w:pPr>
    </w:p>
    <w:p w:rsidR="00B0518C" w:rsidRDefault="00B0518C" w:rsidP="00B0518C">
      <w:pPr>
        <w:pStyle w:val="NormalHeadings"/>
        <w:widowControl/>
        <w:spacing w:before="120" w:after="120" w:line="360" w:lineRule="auto"/>
      </w:pPr>
      <w:r>
        <w:t>THE TRIBUNAL DETERMINES THAT:</w:t>
      </w:r>
    </w:p>
    <w:p w:rsidR="00B0518C" w:rsidRPr="00F957B8" w:rsidRDefault="00867D0B" w:rsidP="00867D0B">
      <w:pPr>
        <w:pStyle w:val="Order1"/>
        <w:numPr>
          <w:ilvl w:val="0"/>
          <w:numId w:val="0"/>
        </w:numPr>
        <w:tabs>
          <w:tab w:val="left" w:pos="720"/>
        </w:tabs>
        <w:ind w:left="720" w:hanging="720"/>
        <w:rPr>
          <w:lang w:val="en-US"/>
        </w:rPr>
      </w:pPr>
      <w:r w:rsidRPr="00F957B8">
        <w:rPr>
          <w:lang w:val="en-US"/>
        </w:rPr>
        <w:t>1.</w:t>
      </w:r>
      <w:r w:rsidRPr="00F957B8">
        <w:rPr>
          <w:lang w:val="en-US"/>
        </w:rPr>
        <w:tab/>
      </w:r>
      <w:r w:rsidR="00B0518C" w:rsidRPr="00B0518C">
        <w:t xml:space="preserve">The Final Determination of the Australian Competition and Consumer Commission made under s 44V of the </w:t>
      </w:r>
      <w:r w:rsidR="00B0518C" w:rsidRPr="00B0518C">
        <w:rPr>
          <w:i/>
        </w:rPr>
        <w:t>Competition and Consumer Act 2010</w:t>
      </w:r>
      <w:r w:rsidR="00B0518C" w:rsidRPr="00B0518C">
        <w:t xml:space="preserve"> (Cth) dated 18 September 2018 be varied by making the amendments indicated (in mark-up) on the copy of the Determination annexed to these directions.</w:t>
      </w:r>
    </w:p>
    <w:p w:rsidR="00612CB9" w:rsidRDefault="00B0518C" w:rsidP="002017E5">
      <w:pPr>
        <w:pStyle w:val="NormalHeadings"/>
        <w:spacing w:before="240" w:after="120"/>
        <w:jc w:val="center"/>
      </w:pPr>
      <w:r>
        <w:rPr>
          <w:b w:val="0"/>
        </w:rPr>
        <w:br w:type="column"/>
      </w:r>
      <w:r w:rsidRPr="00573AD3">
        <w:lastRenderedPageBreak/>
        <w:t>ANNEXURE</w:t>
      </w:r>
    </w:p>
    <w:p w:rsidR="002017E5" w:rsidRPr="002017E5" w:rsidRDefault="002017E5" w:rsidP="002017E5">
      <w:pPr>
        <w:pStyle w:val="NormalHeadings"/>
        <w:spacing w:before="240" w:after="120"/>
      </w:pPr>
      <w:r>
        <w:rPr>
          <w:noProof/>
          <w:lang w:eastAsia="en-AU"/>
        </w:rPr>
        <w:drawing>
          <wp:inline distT="0" distB="0" distL="0" distR="0">
            <wp:extent cx="5732145" cy="8106410"/>
            <wp:effectExtent l="0" t="0" r="190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O_Glencore - Final ACCC determination - ACT Variation March 2022_Page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r>
        <w:rPr>
          <w:noProof/>
          <w:lang w:eastAsia="en-AU"/>
        </w:rPr>
        <w:lastRenderedPageBreak/>
        <w:drawing>
          <wp:inline distT="0" distB="0" distL="0" distR="0">
            <wp:extent cx="5732145" cy="8106410"/>
            <wp:effectExtent l="0" t="0" r="190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O_Glencore - Final ACCC determination - ACT Variation March 2022_Page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r>
        <w:rPr>
          <w:noProof/>
          <w:lang w:eastAsia="en-AU"/>
        </w:rPr>
        <w:drawing>
          <wp:inline distT="0" distB="0" distL="0" distR="0">
            <wp:extent cx="5732145" cy="8106410"/>
            <wp:effectExtent l="0" t="0" r="190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NO_Glencore - Final ACCC determination - ACT Variation March 2022_Page_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r>
        <w:rPr>
          <w:noProof/>
          <w:lang w:eastAsia="en-AU"/>
        </w:rPr>
        <w:drawing>
          <wp:inline distT="0" distB="0" distL="0" distR="0">
            <wp:extent cx="5732145" cy="8106410"/>
            <wp:effectExtent l="0" t="0" r="190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O_Glencore - Final ACCC determination - ACT Variation March 2022_Page_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r>
        <w:rPr>
          <w:noProof/>
          <w:lang w:eastAsia="en-AU"/>
        </w:rPr>
        <w:drawing>
          <wp:inline distT="0" distB="0" distL="0" distR="0">
            <wp:extent cx="5732145" cy="8106410"/>
            <wp:effectExtent l="0" t="0" r="190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NO_Glencore - Final ACCC determination - ACT Variation March 2022_Page_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r>
        <w:rPr>
          <w:noProof/>
          <w:lang w:eastAsia="en-AU"/>
        </w:rPr>
        <w:drawing>
          <wp:inline distT="0" distB="0" distL="0" distR="0">
            <wp:extent cx="5732145" cy="8106410"/>
            <wp:effectExtent l="0" t="0" r="190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NO_Glencore - Final ACCC determination - ACT Variation March 2022_Page_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p>
    <w:p w:rsidR="00B0518C" w:rsidRDefault="00612CB9" w:rsidP="00612CB9">
      <w:pPr>
        <w:tabs>
          <w:tab w:val="left" w:pos="720"/>
        </w:tabs>
      </w:pPr>
      <w:r>
        <w:tab/>
      </w:r>
    </w:p>
    <w:p w:rsidR="00612CB9" w:rsidRDefault="00612CB9" w:rsidP="00612CB9">
      <w:pPr>
        <w:tabs>
          <w:tab w:val="left" w:pos="720"/>
        </w:tabs>
      </w:pPr>
    </w:p>
    <w:p w:rsidR="00612CB9" w:rsidRPr="00612CB9" w:rsidRDefault="00612CB9" w:rsidP="00612CB9">
      <w:pPr>
        <w:tabs>
          <w:tab w:val="left" w:pos="720"/>
        </w:tabs>
        <w:sectPr w:rsidR="00612CB9" w:rsidRPr="00612CB9" w:rsidSect="0092590B">
          <w:headerReference w:type="default" r:id="rId21"/>
          <w:footerReference w:type="default" r:id="rId22"/>
          <w:headerReference w:type="first" r:id="rId23"/>
          <w:footerReference w:type="first" r:id="rId24"/>
          <w:endnotePr>
            <w:numFmt w:val="decimal"/>
          </w:endnotePr>
          <w:pgSz w:w="11907" w:h="16840" w:code="9"/>
          <w:pgMar w:top="1440" w:right="1440" w:bottom="1440" w:left="1440" w:header="851" w:footer="851" w:gutter="0"/>
          <w:pgNumType w:fmt="lowerRoman" w:start="1"/>
          <w:cols w:space="720"/>
          <w:noEndnote/>
          <w:titlePg/>
        </w:sectPr>
      </w:pPr>
    </w:p>
    <w:p w:rsidR="00484F6D" w:rsidRPr="00045BB7" w:rsidRDefault="00484F6D" w:rsidP="00045BB7">
      <w:pPr>
        <w:pStyle w:val="NormalHeadings"/>
        <w:spacing w:line="480" w:lineRule="auto"/>
        <w:jc w:val="center"/>
        <w:rPr>
          <w:sz w:val="28"/>
          <w:szCs w:val="28"/>
        </w:rPr>
      </w:pPr>
      <w:bookmarkStart w:id="13" w:name="ReasonsPage"/>
      <w:bookmarkEnd w:id="13"/>
      <w:r w:rsidRPr="00045BB7">
        <w:rPr>
          <w:sz w:val="28"/>
          <w:szCs w:val="28"/>
        </w:rPr>
        <w:t xml:space="preserve">REASONS FOR </w:t>
      </w:r>
      <w:r w:rsidR="00B0518C">
        <w:rPr>
          <w:sz w:val="28"/>
          <w:szCs w:val="28"/>
        </w:rPr>
        <w:t>DETERMINATION</w:t>
      </w:r>
    </w:p>
    <w:p w:rsidR="00694BEB" w:rsidRDefault="00B0518C" w:rsidP="005E0510">
      <w:pPr>
        <w:pStyle w:val="NormalHeadings"/>
        <w:spacing w:line="360" w:lineRule="auto"/>
        <w:jc w:val="left"/>
        <w:rPr>
          <w:sz w:val="26"/>
          <w:szCs w:val="26"/>
        </w:rPr>
      </w:pPr>
      <w:r>
        <w:rPr>
          <w:sz w:val="26"/>
          <w:szCs w:val="26"/>
        </w:rPr>
        <w:t>THE TRIBUNAL:</w:t>
      </w:r>
    </w:p>
    <w:p w:rsidR="00705A97" w:rsidRDefault="00705A97" w:rsidP="00705A97">
      <w:pPr>
        <w:pStyle w:val="Heading2"/>
      </w:pPr>
      <w:r>
        <w:t>Introduction</w:t>
      </w:r>
    </w:p>
    <w:p w:rsidR="001A3380" w:rsidRDefault="00867D0B" w:rsidP="00867D0B">
      <w:pPr>
        <w:pStyle w:val="ParaNumbering"/>
        <w:numPr>
          <w:ilvl w:val="0"/>
          <w:numId w:val="0"/>
        </w:numPr>
        <w:ind w:hanging="720"/>
      </w:pPr>
      <w:r>
        <w:rPr>
          <w:sz w:val="20"/>
        </w:rPr>
        <w:t>1</w:t>
      </w:r>
      <w:r>
        <w:rPr>
          <w:sz w:val="20"/>
        </w:rPr>
        <w:tab/>
      </w:r>
      <w:r w:rsidR="001A3380">
        <w:rPr>
          <w:lang w:eastAsia="en-AU"/>
        </w:rPr>
        <w:t>This matter concerns the terms on which Glencore Coal Assets Australia Pty Ltd (</w:t>
      </w:r>
      <w:r w:rsidR="001A3380" w:rsidRPr="00705A97">
        <w:rPr>
          <w:b/>
          <w:lang w:eastAsia="en-AU"/>
        </w:rPr>
        <w:t>Glencore</w:t>
      </w:r>
      <w:r w:rsidR="001A3380">
        <w:rPr>
          <w:lang w:eastAsia="en-AU"/>
        </w:rPr>
        <w:t>) can access the shipping channel service provided by Port of Newcastle Operations Pty Ltd (</w:t>
      </w:r>
      <w:r w:rsidR="001A3380" w:rsidRPr="00705A97">
        <w:rPr>
          <w:b/>
          <w:lang w:eastAsia="en-AU"/>
        </w:rPr>
        <w:t>PNO</w:t>
      </w:r>
      <w:r w:rsidR="001A3380">
        <w:rPr>
          <w:lang w:eastAsia="en-AU"/>
        </w:rPr>
        <w:t>) at the Port of Newcastle for the shipment of its coal from the Port. The parties have been in dispute about the terms of access from a time soon after the Port was privatised in 2014. The dispute has given rise to arbitration before the Australian Competition and Consumer Commission (</w:t>
      </w:r>
      <w:r w:rsidR="001A3380" w:rsidRPr="00A21B32">
        <w:rPr>
          <w:b/>
          <w:lang w:eastAsia="en-AU"/>
        </w:rPr>
        <w:t>ACCC</w:t>
      </w:r>
      <w:r w:rsidR="001A3380">
        <w:rPr>
          <w:lang w:eastAsia="en-AU"/>
        </w:rPr>
        <w:t>), review of that arbitration before the Tribunal and judicial review of the Tribunal’s decision before the Courts.</w:t>
      </w:r>
    </w:p>
    <w:p w:rsidR="00CD1346" w:rsidRDefault="00867D0B" w:rsidP="00867D0B">
      <w:pPr>
        <w:pStyle w:val="ParaNumbering"/>
        <w:numPr>
          <w:ilvl w:val="0"/>
          <w:numId w:val="0"/>
        </w:numPr>
        <w:ind w:hanging="720"/>
      </w:pPr>
      <w:r>
        <w:rPr>
          <w:sz w:val="20"/>
        </w:rPr>
        <w:t>2</w:t>
      </w:r>
      <w:r>
        <w:rPr>
          <w:sz w:val="20"/>
        </w:rPr>
        <w:tab/>
      </w:r>
      <w:r w:rsidR="001A3380">
        <w:rPr>
          <w:lang w:eastAsia="en-AU"/>
        </w:rPr>
        <w:t xml:space="preserve">The ACCC’s original arbitration determination was made on 18 September 2018. On review, the Tribunal varied the ACCC’s determination on 30 October 2019. The Tribunal’s determination was set aside by the Full Federal Court on 24 August 2020. The Full Federal Court’s decision was then varied by the High Court on 8 December 2021: </w:t>
      </w:r>
      <w:r w:rsidR="001A3380" w:rsidRPr="001A3380">
        <w:rPr>
          <w:i/>
          <w:lang w:eastAsia="en-AU"/>
        </w:rPr>
        <w:t xml:space="preserve">Port of Newcastle Operations Pty Ltd v Glencore Coal Assets Australia Pty Ltd </w:t>
      </w:r>
      <w:r w:rsidR="001A3380">
        <w:rPr>
          <w:lang w:eastAsia="en-AU"/>
        </w:rPr>
        <w:t>[2021] HCA 39; 395 ALR 209 (</w:t>
      </w:r>
      <w:r w:rsidR="001A3380" w:rsidRPr="001A3380">
        <w:rPr>
          <w:b/>
          <w:lang w:eastAsia="en-AU"/>
        </w:rPr>
        <w:t>High Court decision</w:t>
      </w:r>
      <w:r w:rsidR="001A3380">
        <w:rPr>
          <w:lang w:eastAsia="en-AU"/>
        </w:rPr>
        <w:t>).</w:t>
      </w:r>
      <w:r w:rsidR="00E66766">
        <w:rPr>
          <w:lang w:eastAsia="en-AU"/>
        </w:rPr>
        <w:t xml:space="preserve"> As a result of the High Court</w:t>
      </w:r>
      <w:r w:rsidR="001A3380">
        <w:rPr>
          <w:lang w:eastAsia="en-AU"/>
        </w:rPr>
        <w:t xml:space="preserve"> decision, t</w:t>
      </w:r>
      <w:r w:rsidR="00973FF5">
        <w:rPr>
          <w:lang w:eastAsia="en-AU"/>
        </w:rPr>
        <w:t>h</w:t>
      </w:r>
      <w:r w:rsidR="001A3380">
        <w:rPr>
          <w:lang w:eastAsia="en-AU"/>
        </w:rPr>
        <w:t>e</w:t>
      </w:r>
      <w:r w:rsidR="00973FF5">
        <w:rPr>
          <w:lang w:eastAsia="en-AU"/>
        </w:rPr>
        <w:t xml:space="preserve"> </w:t>
      </w:r>
      <w:r w:rsidR="001A3380">
        <w:rPr>
          <w:lang w:eastAsia="en-AU"/>
        </w:rPr>
        <w:t>arbitration</w:t>
      </w:r>
      <w:r w:rsidR="00973FF5">
        <w:rPr>
          <w:lang w:eastAsia="en-AU"/>
        </w:rPr>
        <w:t xml:space="preserve"> has been remitted to the Tribunal for re-determination in accordance with the</w:t>
      </w:r>
      <w:r w:rsidR="001A3380">
        <w:rPr>
          <w:lang w:eastAsia="en-AU"/>
        </w:rPr>
        <w:t xml:space="preserve"> conclusions of the High Court</w:t>
      </w:r>
      <w:r w:rsidR="00973FF5">
        <w:rPr>
          <w:lang w:eastAsia="en-AU"/>
        </w:rPr>
        <w:t>.</w:t>
      </w:r>
    </w:p>
    <w:p w:rsidR="00C86D12" w:rsidRDefault="00867D0B" w:rsidP="00867D0B">
      <w:pPr>
        <w:pStyle w:val="ParaNumbering"/>
        <w:numPr>
          <w:ilvl w:val="0"/>
          <w:numId w:val="0"/>
        </w:numPr>
        <w:ind w:hanging="720"/>
      </w:pPr>
      <w:r>
        <w:rPr>
          <w:sz w:val="20"/>
        </w:rPr>
        <w:t>3</w:t>
      </w:r>
      <w:r>
        <w:rPr>
          <w:sz w:val="20"/>
        </w:rPr>
        <w:tab/>
      </w:r>
      <w:r w:rsidR="001A3380">
        <w:rPr>
          <w:lang w:eastAsia="en-AU"/>
        </w:rPr>
        <w:t xml:space="preserve">PNO </w:t>
      </w:r>
      <w:r w:rsidR="00705A97">
        <w:rPr>
          <w:lang w:eastAsia="en-AU"/>
        </w:rPr>
        <w:t xml:space="preserve">has proposed a form of determination to be made by the Tribunal on remitter, together with supporting submissions. </w:t>
      </w:r>
      <w:r w:rsidR="001A3380">
        <w:rPr>
          <w:lang w:eastAsia="en-AU"/>
        </w:rPr>
        <w:t xml:space="preserve">Glencore </w:t>
      </w:r>
      <w:r w:rsidR="00705A97">
        <w:rPr>
          <w:lang w:eastAsia="en-AU"/>
        </w:rPr>
        <w:t>has informed the Tribunal that it does not oppose the Tribunal making the determination proposed by PNO.</w:t>
      </w:r>
      <w:r w:rsidR="001A3380">
        <w:rPr>
          <w:lang w:eastAsia="en-AU"/>
        </w:rPr>
        <w:t xml:space="preserve"> </w:t>
      </w:r>
    </w:p>
    <w:p w:rsidR="00B05CA9" w:rsidRDefault="00867D0B" w:rsidP="00867D0B">
      <w:pPr>
        <w:pStyle w:val="ParaNumbering"/>
        <w:numPr>
          <w:ilvl w:val="0"/>
          <w:numId w:val="0"/>
        </w:numPr>
        <w:ind w:hanging="720"/>
      </w:pPr>
      <w:r>
        <w:rPr>
          <w:sz w:val="20"/>
        </w:rPr>
        <w:t>4</w:t>
      </w:r>
      <w:r>
        <w:rPr>
          <w:sz w:val="20"/>
        </w:rPr>
        <w:tab/>
      </w:r>
      <w:r w:rsidR="00B05CA9">
        <w:rPr>
          <w:lang w:eastAsia="en-AU"/>
        </w:rPr>
        <w:t xml:space="preserve">PNO’s </w:t>
      </w:r>
      <w:r w:rsidR="00C86577">
        <w:rPr>
          <w:lang w:eastAsia="en-AU"/>
        </w:rPr>
        <w:t xml:space="preserve">proposed </w:t>
      </w:r>
      <w:r w:rsidR="00B05CA9">
        <w:rPr>
          <w:lang w:eastAsia="en-AU"/>
        </w:rPr>
        <w:t>form of determination</w:t>
      </w:r>
      <w:r w:rsidR="001A3380">
        <w:rPr>
          <w:lang w:eastAsia="en-AU"/>
        </w:rPr>
        <w:t xml:space="preserve"> </w:t>
      </w:r>
      <w:r w:rsidR="00B05CA9">
        <w:rPr>
          <w:lang w:eastAsia="en-AU"/>
        </w:rPr>
        <w:t>var</w:t>
      </w:r>
      <w:r w:rsidR="00C86577">
        <w:rPr>
          <w:lang w:eastAsia="en-AU"/>
        </w:rPr>
        <w:t>ies</w:t>
      </w:r>
      <w:r w:rsidR="00B05CA9">
        <w:rPr>
          <w:lang w:eastAsia="en-AU"/>
        </w:rPr>
        <w:t xml:space="preserve"> </w:t>
      </w:r>
      <w:r w:rsidR="001A3380">
        <w:rPr>
          <w:lang w:eastAsia="en-AU"/>
        </w:rPr>
        <w:t>the ACCC’s original arbitration determination in a number of respects</w:t>
      </w:r>
      <w:r w:rsidR="00B05CA9">
        <w:rPr>
          <w:lang w:eastAsia="en-AU"/>
        </w:rPr>
        <w:t xml:space="preserve"> that go beyond the legal issues determined by the High Court.</w:t>
      </w:r>
      <w:r w:rsidR="001A3380">
        <w:rPr>
          <w:lang w:eastAsia="en-AU"/>
        </w:rPr>
        <w:t xml:space="preserve"> A question arises as to the Tribunal’s power to make those variations on remitter. </w:t>
      </w:r>
    </w:p>
    <w:p w:rsidR="00705A97" w:rsidRDefault="00867D0B" w:rsidP="00867D0B">
      <w:pPr>
        <w:pStyle w:val="ParaNumbering"/>
        <w:numPr>
          <w:ilvl w:val="0"/>
          <w:numId w:val="0"/>
        </w:numPr>
        <w:ind w:hanging="720"/>
      </w:pPr>
      <w:r>
        <w:rPr>
          <w:sz w:val="20"/>
        </w:rPr>
        <w:t>5</w:t>
      </w:r>
      <w:r>
        <w:rPr>
          <w:sz w:val="20"/>
        </w:rPr>
        <w:tab/>
      </w:r>
      <w:r w:rsidR="00705A97">
        <w:rPr>
          <w:lang w:eastAsia="en-AU"/>
        </w:rPr>
        <w:t xml:space="preserve">For the following reasons, the Tribunal considers it appropriate to make the determination </w:t>
      </w:r>
      <w:r w:rsidR="00C86577">
        <w:rPr>
          <w:lang w:eastAsia="en-AU"/>
        </w:rPr>
        <w:t xml:space="preserve">as </w:t>
      </w:r>
      <w:r w:rsidR="00705A97">
        <w:rPr>
          <w:lang w:eastAsia="en-AU"/>
        </w:rPr>
        <w:t>proposed by PNO.</w:t>
      </w:r>
    </w:p>
    <w:p w:rsidR="00705A97" w:rsidRDefault="00705A97" w:rsidP="00705A97">
      <w:pPr>
        <w:pStyle w:val="Heading2"/>
        <w:rPr>
          <w:lang w:eastAsia="en-AU"/>
        </w:rPr>
      </w:pPr>
      <w:r>
        <w:rPr>
          <w:lang w:eastAsia="en-AU"/>
        </w:rPr>
        <w:t>Background</w:t>
      </w:r>
    </w:p>
    <w:p w:rsidR="00705A97" w:rsidRDefault="00867D0B" w:rsidP="00867D0B">
      <w:pPr>
        <w:pStyle w:val="ParaNumbering"/>
        <w:numPr>
          <w:ilvl w:val="0"/>
          <w:numId w:val="0"/>
        </w:numPr>
        <w:tabs>
          <w:tab w:val="left" w:pos="720"/>
        </w:tabs>
        <w:ind w:hanging="720"/>
        <w:rPr>
          <w:lang w:eastAsia="en-AU"/>
        </w:rPr>
      </w:pPr>
      <w:r>
        <w:rPr>
          <w:sz w:val="20"/>
          <w:lang w:eastAsia="en-AU"/>
        </w:rPr>
        <w:t>6</w:t>
      </w:r>
      <w:r>
        <w:rPr>
          <w:sz w:val="20"/>
          <w:lang w:eastAsia="en-AU"/>
        </w:rPr>
        <w:tab/>
      </w:r>
      <w:r w:rsidR="00705A97">
        <w:rPr>
          <w:lang w:eastAsia="en-AU"/>
        </w:rPr>
        <w:t xml:space="preserve">On 4 November 2016, Glencore notified the </w:t>
      </w:r>
      <w:r w:rsidR="0065661C">
        <w:rPr>
          <w:lang w:eastAsia="en-AU"/>
        </w:rPr>
        <w:t xml:space="preserve">ACCC </w:t>
      </w:r>
      <w:r w:rsidR="00705A97">
        <w:rPr>
          <w:lang w:eastAsia="en-AU"/>
        </w:rPr>
        <w:t xml:space="preserve">under s 44S of the </w:t>
      </w:r>
      <w:r w:rsidR="003B4BBD" w:rsidRPr="00CF5318">
        <w:rPr>
          <w:i/>
          <w:lang w:eastAsia="en-AU"/>
        </w:rPr>
        <w:t>Competition and Consumer Act 2010</w:t>
      </w:r>
      <w:r w:rsidR="003B4BBD">
        <w:rPr>
          <w:lang w:eastAsia="en-AU"/>
        </w:rPr>
        <w:t xml:space="preserve"> (Cth) (</w:t>
      </w:r>
      <w:r w:rsidR="003B4BBD">
        <w:rPr>
          <w:b/>
          <w:lang w:eastAsia="en-AU"/>
        </w:rPr>
        <w:t>CCA</w:t>
      </w:r>
      <w:r w:rsidR="003B4BBD">
        <w:rPr>
          <w:lang w:eastAsia="en-AU"/>
        </w:rPr>
        <w:t>)</w:t>
      </w:r>
      <w:r w:rsidR="00705A97">
        <w:rPr>
          <w:lang w:eastAsia="en-AU"/>
        </w:rPr>
        <w:t xml:space="preserve"> of an access dispute in relation to the declared shipping channel </w:t>
      </w:r>
      <w:r w:rsidR="003B4BBD">
        <w:rPr>
          <w:lang w:eastAsia="en-AU"/>
        </w:rPr>
        <w:t xml:space="preserve">and berthing </w:t>
      </w:r>
      <w:r w:rsidR="00705A97">
        <w:rPr>
          <w:lang w:eastAsia="en-AU"/>
        </w:rPr>
        <w:t>service</w:t>
      </w:r>
      <w:r w:rsidR="003B4BBD">
        <w:rPr>
          <w:lang w:eastAsia="en-AU"/>
        </w:rPr>
        <w:t>s</w:t>
      </w:r>
      <w:r w:rsidR="00705A97">
        <w:rPr>
          <w:lang w:eastAsia="en-AU"/>
        </w:rPr>
        <w:t xml:space="preserve"> </w:t>
      </w:r>
      <w:r w:rsidR="003B4BBD">
        <w:rPr>
          <w:lang w:eastAsia="en-AU"/>
        </w:rPr>
        <w:t xml:space="preserve">at the Port of Newcastle </w:t>
      </w:r>
      <w:r w:rsidR="00705A97">
        <w:rPr>
          <w:lang w:eastAsia="en-AU"/>
        </w:rPr>
        <w:t>provided by PNO, which activated the ACC</w:t>
      </w:r>
      <w:r w:rsidR="00D37C76">
        <w:rPr>
          <w:lang w:eastAsia="en-AU"/>
        </w:rPr>
        <w:t>C’s arbitration powers under P</w:t>
      </w:r>
      <w:r w:rsidR="00705A97">
        <w:rPr>
          <w:lang w:eastAsia="en-AU"/>
        </w:rPr>
        <w:t xml:space="preserve">t IIIA of the CCA. </w:t>
      </w:r>
      <w:r w:rsidR="003B4BBD">
        <w:rPr>
          <w:lang w:eastAsia="en-AU"/>
        </w:rPr>
        <w:t>T</w:t>
      </w:r>
      <w:r w:rsidR="00705A97">
        <w:rPr>
          <w:lang w:eastAsia="en-AU"/>
        </w:rPr>
        <w:t xml:space="preserve">he dispute concerned the rates of the </w:t>
      </w:r>
      <w:r w:rsidR="009242CC">
        <w:rPr>
          <w:lang w:eastAsia="en-AU"/>
        </w:rPr>
        <w:t>navigation service charge</w:t>
      </w:r>
      <w:r w:rsidR="00705A97">
        <w:rPr>
          <w:lang w:eastAsia="en-AU"/>
        </w:rPr>
        <w:t xml:space="preserve"> and </w:t>
      </w:r>
      <w:r w:rsidR="009242CC">
        <w:rPr>
          <w:lang w:eastAsia="en-AU"/>
        </w:rPr>
        <w:t>wharfage charge</w:t>
      </w:r>
      <w:r w:rsidR="00705A97">
        <w:rPr>
          <w:lang w:eastAsia="en-AU"/>
        </w:rPr>
        <w:t xml:space="preserve"> levied by PNO</w:t>
      </w:r>
      <w:r w:rsidR="003B4BBD">
        <w:rPr>
          <w:lang w:eastAsia="en-AU"/>
        </w:rPr>
        <w:t xml:space="preserve"> in respect of the shipping channel service and berthing service respectively, and terms related to the imposition of those charges</w:t>
      </w:r>
      <w:r w:rsidR="00705A97">
        <w:rPr>
          <w:lang w:eastAsia="en-AU"/>
        </w:rPr>
        <w:t xml:space="preserve">. </w:t>
      </w:r>
      <w:r w:rsidR="001251C4">
        <w:rPr>
          <w:lang w:eastAsia="en-AU"/>
        </w:rPr>
        <w:t xml:space="preserve">Ultimately, though, the parties were agreed as to the rate of the </w:t>
      </w:r>
      <w:r w:rsidR="009242CC">
        <w:rPr>
          <w:lang w:eastAsia="en-AU"/>
        </w:rPr>
        <w:t>wharfage charge</w:t>
      </w:r>
      <w:r w:rsidR="001251C4">
        <w:rPr>
          <w:lang w:eastAsia="en-AU"/>
        </w:rPr>
        <w:t>.</w:t>
      </w:r>
    </w:p>
    <w:p w:rsidR="00705A97" w:rsidRDefault="00867D0B" w:rsidP="00867D0B">
      <w:pPr>
        <w:pStyle w:val="ParaNumbering"/>
        <w:numPr>
          <w:ilvl w:val="0"/>
          <w:numId w:val="0"/>
        </w:numPr>
        <w:tabs>
          <w:tab w:val="left" w:pos="720"/>
        </w:tabs>
        <w:ind w:hanging="720"/>
        <w:rPr>
          <w:lang w:eastAsia="en-AU"/>
        </w:rPr>
      </w:pPr>
      <w:r>
        <w:rPr>
          <w:sz w:val="20"/>
          <w:lang w:eastAsia="en-AU"/>
        </w:rPr>
        <w:t>7</w:t>
      </w:r>
      <w:r>
        <w:rPr>
          <w:sz w:val="20"/>
          <w:lang w:eastAsia="en-AU"/>
        </w:rPr>
        <w:tab/>
      </w:r>
      <w:r w:rsidR="00705A97">
        <w:rPr>
          <w:lang w:eastAsia="en-AU"/>
        </w:rPr>
        <w:t xml:space="preserve">On 18 September 2018, the ACCC made a final determination of the dispute under s 44V of the CCA. </w:t>
      </w:r>
      <w:r w:rsidR="00A8152B">
        <w:rPr>
          <w:lang w:eastAsia="en-AU"/>
        </w:rPr>
        <w:t>Two aspects of the determination should be noted. First, t</w:t>
      </w:r>
      <w:r w:rsidR="001251C4">
        <w:rPr>
          <w:lang w:eastAsia="en-AU"/>
        </w:rPr>
        <w:t xml:space="preserve">he </w:t>
      </w:r>
      <w:r w:rsidR="00A8152B">
        <w:rPr>
          <w:lang w:eastAsia="en-AU"/>
        </w:rPr>
        <w:t xml:space="preserve">ACCC determined an initial arbitral price for </w:t>
      </w:r>
      <w:r w:rsidR="001251C4">
        <w:rPr>
          <w:lang w:eastAsia="en-AU"/>
        </w:rPr>
        <w:t xml:space="preserve">the navigation service charge </w:t>
      </w:r>
      <w:r w:rsidR="00A8152B">
        <w:rPr>
          <w:lang w:eastAsia="en-AU"/>
        </w:rPr>
        <w:t xml:space="preserve">as at 1 January 2018 of </w:t>
      </w:r>
      <w:r w:rsidR="001251C4">
        <w:rPr>
          <w:lang w:eastAsia="en-AU"/>
        </w:rPr>
        <w:t>$0.6075 per gross tonne</w:t>
      </w:r>
      <w:r w:rsidR="00A8152B">
        <w:rPr>
          <w:lang w:eastAsia="en-AU"/>
        </w:rPr>
        <w:t xml:space="preserve">, which </w:t>
      </w:r>
      <w:r w:rsidR="001251C4">
        <w:rPr>
          <w:lang w:eastAsia="en-AU"/>
        </w:rPr>
        <w:t>represented a significant decrease below the rates that had been charged by PNO since 2015. C</w:t>
      </w:r>
      <w:r w:rsidR="00705A97">
        <w:rPr>
          <w:lang w:eastAsia="en-AU"/>
        </w:rPr>
        <w:t xml:space="preserve">lause 1.2 of the ACCC determination provided that the </w:t>
      </w:r>
      <w:r w:rsidR="009242CC">
        <w:rPr>
          <w:lang w:eastAsia="en-AU"/>
        </w:rPr>
        <w:t>navigation service charge</w:t>
      </w:r>
      <w:r w:rsidR="00705A97">
        <w:rPr>
          <w:lang w:eastAsia="en-AU"/>
        </w:rPr>
        <w:t xml:space="preserve"> and </w:t>
      </w:r>
      <w:r w:rsidR="009242CC">
        <w:rPr>
          <w:lang w:eastAsia="en-AU"/>
        </w:rPr>
        <w:t>wharfage charge</w:t>
      </w:r>
      <w:r w:rsidR="00705A97">
        <w:rPr>
          <w:lang w:eastAsia="en-AU"/>
        </w:rPr>
        <w:t>, as determined by the ACCC, would be backdated so as to apply from 8 July 2016 with interest being payable on any amount overpaid to PNO by Glencore having regard to the ACCC determination.</w:t>
      </w:r>
      <w:r w:rsidR="00A8152B">
        <w:rPr>
          <w:lang w:eastAsia="en-AU"/>
        </w:rPr>
        <w:t xml:space="preserve"> Second, the ACCC determined that the </w:t>
      </w:r>
      <w:r w:rsidR="009242CC">
        <w:rPr>
          <w:lang w:eastAsia="en-AU"/>
        </w:rPr>
        <w:t>navigation service charge</w:t>
      </w:r>
      <w:r w:rsidR="00A8152B">
        <w:rPr>
          <w:lang w:eastAsia="en-AU"/>
        </w:rPr>
        <w:t xml:space="preserve"> would apply in respect of vessels using the shipping channel service in two circumstances:</w:t>
      </w:r>
    </w:p>
    <w:p w:rsidR="00A8152B" w:rsidRDefault="00867D0B" w:rsidP="00867D0B">
      <w:pPr>
        <w:pStyle w:val="ListNo1alt"/>
        <w:numPr>
          <w:ilvl w:val="0"/>
          <w:numId w:val="0"/>
        </w:numPr>
        <w:tabs>
          <w:tab w:val="left" w:pos="720"/>
        </w:tabs>
        <w:ind w:left="720" w:hanging="720"/>
        <w:rPr>
          <w:lang w:eastAsia="en-AU"/>
        </w:rPr>
      </w:pPr>
      <w:r>
        <w:rPr>
          <w:lang w:eastAsia="en-AU"/>
        </w:rPr>
        <w:t>(a)</w:t>
      </w:r>
      <w:r>
        <w:rPr>
          <w:lang w:eastAsia="en-AU"/>
        </w:rPr>
        <w:tab/>
      </w:r>
      <w:r w:rsidR="00A8152B">
        <w:rPr>
          <w:lang w:eastAsia="en-AU"/>
        </w:rPr>
        <w:t>where Glencore, either directly or by agent, charters a vessel to enter the Port precinct and load Glencore coal; and</w:t>
      </w:r>
    </w:p>
    <w:p w:rsidR="00A8152B" w:rsidRDefault="00867D0B" w:rsidP="00867D0B">
      <w:pPr>
        <w:pStyle w:val="ListNo1alt"/>
        <w:numPr>
          <w:ilvl w:val="0"/>
          <w:numId w:val="0"/>
        </w:numPr>
        <w:tabs>
          <w:tab w:val="left" w:pos="720"/>
        </w:tabs>
        <w:ind w:left="720" w:hanging="720"/>
        <w:rPr>
          <w:lang w:eastAsia="en-AU"/>
        </w:rPr>
      </w:pPr>
      <w:r>
        <w:rPr>
          <w:lang w:eastAsia="en-AU"/>
        </w:rPr>
        <w:t>(b)</w:t>
      </w:r>
      <w:r>
        <w:rPr>
          <w:lang w:eastAsia="en-AU"/>
        </w:rPr>
        <w:tab/>
      </w:r>
      <w:r w:rsidR="00A8152B">
        <w:rPr>
          <w:lang w:eastAsia="en-AU"/>
        </w:rPr>
        <w:t>where Glencore makes a representation to PNO of the kind referred to in s</w:t>
      </w:r>
      <w:r w:rsidR="00375791">
        <w:rPr>
          <w:lang w:eastAsia="en-AU"/>
        </w:rPr>
        <w:t> </w:t>
      </w:r>
      <w:r w:rsidR="00A8152B">
        <w:rPr>
          <w:lang w:eastAsia="en-AU"/>
        </w:rPr>
        <w:t xml:space="preserve">48(4)(b) of the </w:t>
      </w:r>
      <w:r w:rsidR="00A8152B" w:rsidRPr="00A8152B">
        <w:rPr>
          <w:i/>
          <w:lang w:eastAsia="en-AU"/>
        </w:rPr>
        <w:t>Ports and Maritime Administration Act 1995</w:t>
      </w:r>
      <w:r w:rsidR="00A8152B">
        <w:rPr>
          <w:lang w:eastAsia="en-AU"/>
        </w:rPr>
        <w:t xml:space="preserve"> (NSW) (</w:t>
      </w:r>
      <w:r w:rsidR="00A8152B" w:rsidRPr="00A8152B">
        <w:rPr>
          <w:b/>
          <w:lang w:eastAsia="en-AU"/>
        </w:rPr>
        <w:t>PMA</w:t>
      </w:r>
      <w:r w:rsidR="00A8152B">
        <w:rPr>
          <w:b/>
          <w:lang w:eastAsia="en-AU"/>
        </w:rPr>
        <w:t xml:space="preserve"> </w:t>
      </w:r>
      <w:r w:rsidR="00A8152B" w:rsidRPr="00A8152B">
        <w:rPr>
          <w:b/>
          <w:lang w:eastAsia="en-AU"/>
        </w:rPr>
        <w:t>A</w:t>
      </w:r>
      <w:r w:rsidR="00A8152B">
        <w:rPr>
          <w:b/>
          <w:lang w:eastAsia="en-AU"/>
        </w:rPr>
        <w:t>ct</w:t>
      </w:r>
      <w:r w:rsidR="00A8152B">
        <w:rPr>
          <w:lang w:eastAsia="en-AU"/>
        </w:rPr>
        <w:t xml:space="preserve">) that it has the functions of the owner of a vessel, or accepts the obligation to exercise those functions, in order to enter the Port precinct and load Glencore coal. </w:t>
      </w:r>
    </w:p>
    <w:p w:rsidR="00705A97" w:rsidRDefault="00867D0B" w:rsidP="00867D0B">
      <w:pPr>
        <w:pStyle w:val="ParaNumbering"/>
        <w:numPr>
          <w:ilvl w:val="0"/>
          <w:numId w:val="0"/>
        </w:numPr>
        <w:tabs>
          <w:tab w:val="left" w:pos="720"/>
        </w:tabs>
        <w:ind w:hanging="720"/>
        <w:rPr>
          <w:lang w:eastAsia="en-AU"/>
        </w:rPr>
      </w:pPr>
      <w:r>
        <w:rPr>
          <w:sz w:val="20"/>
          <w:lang w:eastAsia="en-AU"/>
        </w:rPr>
        <w:t>8</w:t>
      </w:r>
      <w:r>
        <w:rPr>
          <w:sz w:val="20"/>
          <w:lang w:eastAsia="en-AU"/>
        </w:rPr>
        <w:tab/>
      </w:r>
      <w:r w:rsidR="00705A97">
        <w:rPr>
          <w:lang w:eastAsia="en-AU"/>
        </w:rPr>
        <w:t>On 8 October 2018, PNO filed an application for review of the ACCC determination pursuant to s 44ZP of the CCA (ACT 2 of 2018). On 9 October 2018, Glencore also filed an application for review (ACT 3 of 2018). By virtue of s 44ZO(1) of the CCA, the determination of the ACCC did not come into effect (by reason of the application</w:t>
      </w:r>
      <w:r w:rsidR="00A412B6">
        <w:rPr>
          <w:lang w:eastAsia="en-AU"/>
        </w:rPr>
        <w:t>s</w:t>
      </w:r>
      <w:r w:rsidR="00705A97">
        <w:rPr>
          <w:lang w:eastAsia="en-AU"/>
        </w:rPr>
        <w:t xml:space="preserve"> for review made to the Tribunal).</w:t>
      </w:r>
    </w:p>
    <w:p w:rsidR="00705A97" w:rsidRDefault="00867D0B" w:rsidP="00867D0B">
      <w:pPr>
        <w:pStyle w:val="ParaNumbering"/>
        <w:numPr>
          <w:ilvl w:val="0"/>
          <w:numId w:val="0"/>
        </w:numPr>
        <w:tabs>
          <w:tab w:val="left" w:pos="720"/>
        </w:tabs>
        <w:ind w:hanging="720"/>
        <w:rPr>
          <w:lang w:eastAsia="en-AU"/>
        </w:rPr>
      </w:pPr>
      <w:r>
        <w:rPr>
          <w:sz w:val="20"/>
          <w:lang w:eastAsia="en-AU"/>
        </w:rPr>
        <w:t>9</w:t>
      </w:r>
      <w:r>
        <w:rPr>
          <w:sz w:val="20"/>
          <w:lang w:eastAsia="en-AU"/>
        </w:rPr>
        <w:tab/>
      </w:r>
      <w:r w:rsidR="00705A97">
        <w:rPr>
          <w:lang w:eastAsia="en-AU"/>
        </w:rPr>
        <w:t xml:space="preserve">On 30 October 2019, the Tribunal (constituted by Middleton J, Mr R Shogren and Dr D Abraham) made a determination under s 44ZP of the CCA by which it varied the determination of the ACCC in two respects. The first concerned the </w:t>
      </w:r>
      <w:r w:rsidR="00A8152B">
        <w:rPr>
          <w:lang w:eastAsia="en-AU"/>
        </w:rPr>
        <w:t xml:space="preserve">amount of the navigation service charge. In that respect, the </w:t>
      </w:r>
      <w:r w:rsidR="00A8152B" w:rsidRPr="00C22E0D">
        <w:rPr>
          <w:lang w:eastAsia="en-AU"/>
        </w:rPr>
        <w:t>Tribunal</w:t>
      </w:r>
      <w:r w:rsidR="00A8152B">
        <w:rPr>
          <w:lang w:eastAsia="en-AU"/>
        </w:rPr>
        <w:t xml:space="preserve"> determined an </w:t>
      </w:r>
      <w:r w:rsidR="00A8152B" w:rsidRPr="00C22E0D">
        <w:rPr>
          <w:lang w:eastAsia="en-AU"/>
        </w:rPr>
        <w:t xml:space="preserve">initial arbitral price for the </w:t>
      </w:r>
      <w:r w:rsidR="00A8152B">
        <w:rPr>
          <w:lang w:eastAsia="en-AU"/>
        </w:rPr>
        <w:t>navigation service charge</w:t>
      </w:r>
      <w:r w:rsidR="00A8152B" w:rsidRPr="00C22E0D">
        <w:rPr>
          <w:lang w:eastAsia="en-AU"/>
        </w:rPr>
        <w:t xml:space="preserve"> </w:t>
      </w:r>
      <w:r w:rsidR="00A8152B">
        <w:rPr>
          <w:lang w:eastAsia="en-AU"/>
        </w:rPr>
        <w:t>as at 1 January 2018 of</w:t>
      </w:r>
      <w:r w:rsidR="00A8152B" w:rsidRPr="00C22E0D">
        <w:rPr>
          <w:lang w:eastAsia="en-AU"/>
        </w:rPr>
        <w:t xml:space="preserve"> $1.0058 per </w:t>
      </w:r>
      <w:r w:rsidR="00A8152B">
        <w:rPr>
          <w:lang w:eastAsia="en-AU"/>
        </w:rPr>
        <w:t>gross tonne</w:t>
      </w:r>
      <w:r w:rsidR="00CC32F2">
        <w:rPr>
          <w:lang w:eastAsia="en-AU"/>
        </w:rPr>
        <w:t>, which represented an increase to the rates that had been charged by PNO</w:t>
      </w:r>
      <w:r w:rsidR="00A8152B">
        <w:rPr>
          <w:lang w:eastAsia="en-AU"/>
        </w:rPr>
        <w:t xml:space="preserve">. The second concerned the </w:t>
      </w:r>
      <w:r w:rsidR="00CC32F2">
        <w:rPr>
          <w:lang w:eastAsia="en-AU"/>
        </w:rPr>
        <w:t>description</w:t>
      </w:r>
      <w:r w:rsidR="00A8152B">
        <w:rPr>
          <w:lang w:eastAsia="en-AU"/>
        </w:rPr>
        <w:t xml:space="preserve"> </w:t>
      </w:r>
      <w:r w:rsidR="00CC32F2">
        <w:rPr>
          <w:lang w:eastAsia="en-AU"/>
        </w:rPr>
        <w:t xml:space="preserve">of the </w:t>
      </w:r>
      <w:r w:rsidR="00705A97">
        <w:rPr>
          <w:lang w:eastAsia="en-AU"/>
        </w:rPr>
        <w:t xml:space="preserve">vessels using the shipping channels that were within the scope of, and were able to benefit from, the determination. </w:t>
      </w:r>
      <w:r w:rsidR="00CC32F2">
        <w:rPr>
          <w:lang w:eastAsia="en-AU"/>
        </w:rPr>
        <w:t>In that respect, the Tribunal confined the determination to circumstances where Glencore, either directly or by agent, charters a vessel to enter the Port precinct and load Glencore coal.</w:t>
      </w:r>
      <w:r w:rsidR="005A3DF8">
        <w:rPr>
          <w:lang w:eastAsia="en-AU"/>
        </w:rPr>
        <w:t xml:space="preserve"> The Tribunal’s determination </w:t>
      </w:r>
      <w:r w:rsidR="00A412B6">
        <w:rPr>
          <w:lang w:eastAsia="en-AU"/>
        </w:rPr>
        <w:t>wa</w:t>
      </w:r>
      <w:r w:rsidR="005A3DF8">
        <w:rPr>
          <w:lang w:eastAsia="en-AU"/>
        </w:rPr>
        <w:t xml:space="preserve">s published as </w:t>
      </w:r>
      <w:r w:rsidR="005A3DF8" w:rsidRPr="00EC7767">
        <w:rPr>
          <w:i/>
          <w:lang w:eastAsia="en-AU"/>
        </w:rPr>
        <w:t>Application by Port of Newcastle Operations Pty Ltd</w:t>
      </w:r>
      <w:r w:rsidR="005A3DF8" w:rsidRPr="00C31053">
        <w:rPr>
          <w:lang w:eastAsia="en-AU"/>
        </w:rPr>
        <w:t xml:space="preserve"> [2019] ACompT 1</w:t>
      </w:r>
      <w:r w:rsidR="009C7E61">
        <w:rPr>
          <w:lang w:eastAsia="en-AU"/>
        </w:rPr>
        <w:t xml:space="preserve"> (</w:t>
      </w:r>
      <w:r w:rsidR="009C7E61" w:rsidRPr="009C7E61">
        <w:rPr>
          <w:b/>
          <w:i/>
          <w:lang w:eastAsia="en-AU"/>
        </w:rPr>
        <w:t>Application by Port of Newcastle Operations</w:t>
      </w:r>
      <w:r w:rsidR="009C7E61" w:rsidRPr="00E66766">
        <w:rPr>
          <w:lang w:eastAsia="en-AU"/>
        </w:rPr>
        <w:t>)</w:t>
      </w:r>
      <w:r w:rsidR="005A3DF8" w:rsidRPr="00E66766">
        <w:rPr>
          <w:lang w:eastAsia="en-AU"/>
        </w:rPr>
        <w:t>.</w:t>
      </w:r>
    </w:p>
    <w:p w:rsidR="00705A97" w:rsidRDefault="00867D0B" w:rsidP="00867D0B">
      <w:pPr>
        <w:pStyle w:val="ParaNumbering"/>
        <w:numPr>
          <w:ilvl w:val="0"/>
          <w:numId w:val="0"/>
        </w:numPr>
        <w:tabs>
          <w:tab w:val="left" w:pos="720"/>
        </w:tabs>
        <w:ind w:hanging="720"/>
        <w:rPr>
          <w:lang w:eastAsia="en-AU"/>
        </w:rPr>
      </w:pPr>
      <w:r>
        <w:rPr>
          <w:sz w:val="20"/>
          <w:lang w:eastAsia="en-AU"/>
        </w:rPr>
        <w:t>10</w:t>
      </w:r>
      <w:r>
        <w:rPr>
          <w:sz w:val="20"/>
          <w:lang w:eastAsia="en-AU"/>
        </w:rPr>
        <w:tab/>
      </w:r>
      <w:r w:rsidR="00CC32F2">
        <w:rPr>
          <w:lang w:eastAsia="en-AU"/>
        </w:rPr>
        <w:t>Glencore applied to the Full Federal Court for judicial review of the Tribunal’s</w:t>
      </w:r>
      <w:r w:rsidR="00CC32F2" w:rsidRPr="00C22E0D">
        <w:rPr>
          <w:lang w:eastAsia="en-AU"/>
        </w:rPr>
        <w:t xml:space="preserve"> </w:t>
      </w:r>
      <w:r w:rsidR="00CC32F2">
        <w:rPr>
          <w:lang w:eastAsia="en-AU"/>
        </w:rPr>
        <w:t xml:space="preserve">arbitral determination in respect of both the level of the navigation service charge and the scope of the determination. </w:t>
      </w:r>
      <w:r w:rsidR="00705A97">
        <w:rPr>
          <w:lang w:eastAsia="en-AU"/>
        </w:rPr>
        <w:t xml:space="preserve">On 24 August 2020, the Full Federal Court set aside the determination of the Tribunal and remitted the applications to the Tribunal for re-determination according to law. </w:t>
      </w:r>
      <w:r w:rsidR="00CC32F2">
        <w:rPr>
          <w:lang w:eastAsia="en-AU"/>
        </w:rPr>
        <w:t>The Full Federal Court concluded that the Tribunal’s decision with respect to the navigation service charge and the scope of the determination were affected by errors of law: see</w:t>
      </w:r>
      <w:r w:rsidR="00CC32F2" w:rsidRPr="00CC32F2">
        <w:rPr>
          <w:i/>
          <w:lang w:eastAsia="en-AU"/>
        </w:rPr>
        <w:t xml:space="preserve"> </w:t>
      </w:r>
      <w:r w:rsidR="00CC32F2" w:rsidRPr="00C31053">
        <w:rPr>
          <w:i/>
          <w:lang w:eastAsia="en-AU"/>
        </w:rPr>
        <w:t>Glencore Coal Assets Australia Pty Ltd v Australian Competition Tribunal</w:t>
      </w:r>
      <w:r w:rsidR="00CC32F2" w:rsidRPr="00C31053">
        <w:rPr>
          <w:lang w:eastAsia="en-AU"/>
        </w:rPr>
        <w:t xml:space="preserve"> </w:t>
      </w:r>
      <w:r w:rsidR="00CC32F2">
        <w:rPr>
          <w:lang w:eastAsia="en-AU"/>
        </w:rPr>
        <w:t>(2020) 280 FCR 194.</w:t>
      </w:r>
    </w:p>
    <w:p w:rsidR="005A3DF8" w:rsidRDefault="00867D0B" w:rsidP="00867D0B">
      <w:pPr>
        <w:pStyle w:val="ParaNumbering"/>
        <w:numPr>
          <w:ilvl w:val="0"/>
          <w:numId w:val="0"/>
        </w:numPr>
        <w:tabs>
          <w:tab w:val="left" w:pos="1582"/>
        </w:tabs>
        <w:ind w:hanging="720"/>
        <w:rPr>
          <w:lang w:eastAsia="en-AU"/>
        </w:rPr>
      </w:pPr>
      <w:r>
        <w:rPr>
          <w:sz w:val="20"/>
          <w:lang w:eastAsia="en-AU"/>
        </w:rPr>
        <w:t>11</w:t>
      </w:r>
      <w:r>
        <w:rPr>
          <w:sz w:val="20"/>
          <w:lang w:eastAsia="en-AU"/>
        </w:rPr>
        <w:tab/>
      </w:r>
      <w:r w:rsidR="005A3DF8">
        <w:rPr>
          <w:lang w:eastAsia="en-AU"/>
        </w:rPr>
        <w:t xml:space="preserve">PNO appealed the Full Court decision to the High Court. On 8 December 2021, the High Court delivered its judgment on the appeal. In respect of the navigation service charge, the High Court upheld PNO’s appeal and effectively reinstated the Tribunal’s arbitral determination of the </w:t>
      </w:r>
      <w:r w:rsidR="005A3DF8" w:rsidRPr="00C22E0D">
        <w:rPr>
          <w:lang w:eastAsia="en-AU"/>
        </w:rPr>
        <w:t xml:space="preserve">initial </w:t>
      </w:r>
      <w:r w:rsidR="005A3DF8">
        <w:rPr>
          <w:lang w:eastAsia="en-AU"/>
        </w:rPr>
        <w:t>navigation service charge</w:t>
      </w:r>
      <w:r w:rsidR="005A3DF8" w:rsidRPr="00C22E0D">
        <w:rPr>
          <w:lang w:eastAsia="en-AU"/>
        </w:rPr>
        <w:t xml:space="preserve"> </w:t>
      </w:r>
      <w:r w:rsidR="005A3DF8">
        <w:rPr>
          <w:lang w:eastAsia="en-AU"/>
        </w:rPr>
        <w:t>of</w:t>
      </w:r>
      <w:r w:rsidR="005A3DF8" w:rsidRPr="00C22E0D">
        <w:rPr>
          <w:lang w:eastAsia="en-AU"/>
        </w:rPr>
        <w:t xml:space="preserve"> $1.0058 per </w:t>
      </w:r>
      <w:r w:rsidR="005A3DF8">
        <w:rPr>
          <w:lang w:eastAsia="en-AU"/>
        </w:rPr>
        <w:t>gross tonne (as at 1 January 2018). In respect of the scope of the determination, the High Court accepted PNO’s appeal in part and dismissed it in part. The High Court concluded as follows (at [104]-[111]</w:t>
      </w:r>
      <w:r w:rsidR="004B742D">
        <w:rPr>
          <w:lang w:eastAsia="en-AU"/>
        </w:rPr>
        <w:t>, references omitted</w:t>
      </w:r>
      <w:r w:rsidR="005A3DF8">
        <w:rPr>
          <w:lang w:eastAsia="en-AU"/>
        </w:rPr>
        <w:t>):</w:t>
      </w:r>
    </w:p>
    <w:p w:rsidR="005A3DF8" w:rsidRDefault="005A3DF8" w:rsidP="00A412B6">
      <w:pPr>
        <w:pStyle w:val="Quote1"/>
        <w:tabs>
          <w:tab w:val="left" w:pos="1276"/>
        </w:tabs>
        <w:ind w:left="1276" w:hanging="539"/>
        <w:rPr>
          <w:lang w:eastAsia="en-AU"/>
        </w:rPr>
      </w:pPr>
      <w:r>
        <w:rPr>
          <w:lang w:eastAsia="en-AU"/>
        </w:rPr>
        <w:t xml:space="preserve">104 </w:t>
      </w:r>
      <w:r w:rsidR="00C760A6">
        <w:rPr>
          <w:lang w:eastAsia="en-AU"/>
        </w:rPr>
        <w:t xml:space="preserve"> </w:t>
      </w:r>
      <w:r w:rsidR="00C760A6">
        <w:rPr>
          <w:lang w:eastAsia="en-AU"/>
        </w:rPr>
        <w:tab/>
      </w:r>
      <w:r>
        <w:rPr>
          <w:lang w:eastAsia="en-AU"/>
        </w:rPr>
        <w:t>The Declaration, it will be recalled, relevantly described the Service as "the provision of the right to access and use the shipping channels (including berths next to wharves as part of the channels) at the Port". Plainly, the introductory reference to "the provision of the right to access" is surplusage. Having regard to the structure of the definition of "service" set out in s 44B of the Act, the service declared by the Declaration is "the use" of an infrastructure facility constituted by the shipping channels, which are treated for the purposes of the Declaration as including the berths.</w:t>
      </w:r>
    </w:p>
    <w:p w:rsidR="005A3DF8" w:rsidRDefault="005A3DF8" w:rsidP="00A412B6">
      <w:pPr>
        <w:pStyle w:val="Quote1"/>
        <w:tabs>
          <w:tab w:val="left" w:pos="1276"/>
        </w:tabs>
        <w:ind w:left="1276" w:hanging="539"/>
        <w:rPr>
          <w:lang w:eastAsia="en-AU"/>
        </w:rPr>
      </w:pPr>
      <w:r>
        <w:rPr>
          <w:lang w:eastAsia="en-AU"/>
        </w:rPr>
        <w:t xml:space="preserve">105 </w:t>
      </w:r>
      <w:r w:rsidR="00C760A6">
        <w:rPr>
          <w:lang w:eastAsia="en-AU"/>
        </w:rPr>
        <w:tab/>
      </w:r>
      <w:r>
        <w:rPr>
          <w:lang w:eastAsia="en-AU"/>
        </w:rPr>
        <w:t>In circumstances where Glencore wants to ensure that it can continue to enjoy the economic benefit that it unquestionably gets from the ability of ships, loading and carrying the coal that it sells to overseas buyers, to use the shipping channels and berths at the Port, Glencore is a person who wants "access" to the Service. Glencore is thereby a "third party". By operation of the Declaration, Glencore as a "third party" has a right to negotiate with PNO about the amount of the navigation service charge that PNO might fix for the Service. That is so whether Glencore sells FOB or CIF.</w:t>
      </w:r>
    </w:p>
    <w:p w:rsidR="005A3DF8" w:rsidRDefault="005A3DF8" w:rsidP="00A412B6">
      <w:pPr>
        <w:pStyle w:val="Quote1"/>
        <w:tabs>
          <w:tab w:val="left" w:pos="1276"/>
        </w:tabs>
        <w:ind w:left="1276" w:hanging="539"/>
        <w:rPr>
          <w:lang w:eastAsia="en-AU"/>
        </w:rPr>
      </w:pPr>
      <w:r>
        <w:rPr>
          <w:lang w:eastAsia="en-AU"/>
        </w:rPr>
        <w:t xml:space="preserve">106 </w:t>
      </w:r>
      <w:r w:rsidR="00C760A6">
        <w:rPr>
          <w:lang w:eastAsia="en-AU"/>
        </w:rPr>
        <w:tab/>
      </w:r>
      <w:r>
        <w:rPr>
          <w:lang w:eastAsia="en-AU"/>
        </w:rPr>
        <w:t>By exercising the right to negotiate through notifying an access dispute about the amount of the navigation service charge payable in respect of ships carrying the coal that it sells to overseas buyers either FOB or CIF, Glencore became entitled to an arbitrated bilateral outcome. The outcome to which Glencore became entitled was no less than could have been achieved without arbitration had PNO been willing to reach an agreement with Glencore about the amount of the navigation service charge payable by Glencore as permitted under the provisions of the PMA Act.</w:t>
      </w:r>
    </w:p>
    <w:p w:rsidR="005A3DF8" w:rsidRDefault="005A3DF8" w:rsidP="00A412B6">
      <w:pPr>
        <w:pStyle w:val="Quote1"/>
        <w:tabs>
          <w:tab w:val="left" w:pos="1276"/>
        </w:tabs>
        <w:ind w:left="1276" w:hanging="539"/>
        <w:rPr>
          <w:lang w:eastAsia="en-AU"/>
        </w:rPr>
      </w:pPr>
      <w:r>
        <w:rPr>
          <w:lang w:eastAsia="en-AU"/>
        </w:rPr>
        <w:t xml:space="preserve">107 </w:t>
      </w:r>
      <w:r w:rsidR="00C760A6">
        <w:rPr>
          <w:lang w:eastAsia="en-AU"/>
        </w:rPr>
        <w:tab/>
      </w:r>
      <w:r>
        <w:rPr>
          <w:lang w:eastAsia="en-AU"/>
        </w:rPr>
        <w:t>The Full Court was, on that basis and to that extent, correct to conclude that the Tribunal had erred in law in treating the permissible scope of the Final Determination as confined to circumstances where Glencore exercised some measure of control over the physical activity of moving a vessel through a shipping channel. The Full Court was therefore correct to set aside the Tribunal Decision and to remit the matter to the Tribunal for redetermination of the Final Determination.</w:t>
      </w:r>
    </w:p>
    <w:p w:rsidR="005A3DF8" w:rsidRDefault="005A3DF8" w:rsidP="00A412B6">
      <w:pPr>
        <w:pStyle w:val="Quote1"/>
        <w:tabs>
          <w:tab w:val="left" w:pos="1276"/>
        </w:tabs>
        <w:ind w:left="1276" w:hanging="539"/>
        <w:rPr>
          <w:lang w:eastAsia="en-AU"/>
        </w:rPr>
      </w:pPr>
      <w:r>
        <w:rPr>
          <w:lang w:eastAsia="en-AU"/>
        </w:rPr>
        <w:t xml:space="preserve">108 </w:t>
      </w:r>
      <w:r w:rsidR="00C760A6">
        <w:rPr>
          <w:lang w:eastAsia="en-AU"/>
        </w:rPr>
        <w:tab/>
      </w:r>
      <w:r>
        <w:rPr>
          <w:lang w:eastAsia="en-AU"/>
        </w:rPr>
        <w:t>Equally, however, the arbitrated outcome to which Glencore became entitled by exercising the right to negotiate was no more than could have been achieved without arbitration had PNO been willing to reach an agreement with Glencore about the amount of the navigation service charge payable by Glencore as permitted under the provisions of the PMA Act. The Full Court would have been incorrect to the extent that its additiona</w:t>
      </w:r>
      <w:r w:rsidR="004B742D">
        <w:rPr>
          <w:lang w:eastAsia="en-AU"/>
        </w:rPr>
        <w:t>l observations, already quoted</w:t>
      </w:r>
      <w:r>
        <w:rPr>
          <w:lang w:eastAsia="en-AU"/>
        </w:rPr>
        <w:t>, might indicate that the Tribunal's re-arbitration of the access dispute could result in a determination governing the circumstances in which PNO would seek and accept payment of the Navigation Service Charge from a person other than Glencore in respect of the particular use of the shipping channels by a particular ship carrying coal sold by Glencore.</w:t>
      </w:r>
    </w:p>
    <w:p w:rsidR="005A3DF8" w:rsidRDefault="005A3DF8" w:rsidP="00A412B6">
      <w:pPr>
        <w:pStyle w:val="Quote1"/>
        <w:tabs>
          <w:tab w:val="left" w:pos="1276"/>
        </w:tabs>
        <w:ind w:left="1276" w:hanging="539"/>
        <w:rPr>
          <w:lang w:eastAsia="en-AU"/>
        </w:rPr>
      </w:pPr>
      <w:r>
        <w:rPr>
          <w:lang w:eastAsia="en-AU"/>
        </w:rPr>
        <w:t xml:space="preserve">109 </w:t>
      </w:r>
      <w:r w:rsidR="00C760A6">
        <w:rPr>
          <w:lang w:eastAsia="en-AU"/>
        </w:rPr>
        <w:tab/>
      </w:r>
      <w:r>
        <w:rPr>
          <w:lang w:eastAsia="en-AU"/>
        </w:rPr>
        <w:t>Subject to the constraints of tort and competition law, and to the provision of contractual consideration, one person can ordinarily enter into a binding contract with another person about the price at which that second person will offer a service to a third person. The third person will then become liable to pay the price to the second person under a separate contract that will be formed between the second person and the third person if and when the offer is made and accepted.</w:t>
      </w:r>
    </w:p>
    <w:p w:rsidR="005A3DF8" w:rsidRDefault="005A3DF8" w:rsidP="00A412B6">
      <w:pPr>
        <w:pStyle w:val="Quote1"/>
        <w:tabs>
          <w:tab w:val="left" w:pos="1276"/>
        </w:tabs>
        <w:ind w:left="1276" w:hanging="539"/>
        <w:rPr>
          <w:lang w:eastAsia="en-AU"/>
        </w:rPr>
      </w:pPr>
      <w:r>
        <w:rPr>
          <w:lang w:eastAsia="en-AU"/>
        </w:rPr>
        <w:t xml:space="preserve">110 </w:t>
      </w:r>
      <w:r w:rsidR="00C760A6">
        <w:rPr>
          <w:lang w:eastAsia="en-AU"/>
        </w:rPr>
        <w:tab/>
      </w:r>
      <w:r>
        <w:rPr>
          <w:lang w:eastAsia="en-AU"/>
        </w:rPr>
        <w:t>Here, however, the terms of the PMA Act do not permit PNO to enter into that kind of bilateral arrangement having potential consequences for a third person. It will be recalled that s 67 of the PMA Act relevantly goes no further than to permit PNO to enter into an agreement about the amount of the navigation service charge with a person who is liable to pay the navigation service charge. Absent any other person with a sufficient interest having chosen to become a party to the arbitration of the access dispute between PNO and Glencore, the only person who has the potential to become liable to pay the Navigation Service Charge as a result of the Final Determination is Glencore. When Glencore sells FOB, Glencore can answer the description of a person who is liable to pay the Navigation Service Charge only by acting to bring itself within the extended meaning of "owner" of a vessel in s 48(4)(b) of the PMA Act so as to accept the obligation to pay the Navigation Service Charge.</w:t>
      </w:r>
    </w:p>
    <w:p w:rsidR="005A3DF8" w:rsidRDefault="005A3DF8" w:rsidP="00A412B6">
      <w:pPr>
        <w:pStyle w:val="Quote1"/>
        <w:tabs>
          <w:tab w:val="left" w:pos="1276"/>
        </w:tabs>
        <w:ind w:left="1276" w:hanging="539"/>
        <w:rPr>
          <w:lang w:eastAsia="en-AU"/>
        </w:rPr>
      </w:pPr>
      <w:r>
        <w:rPr>
          <w:lang w:eastAsia="en-AU"/>
        </w:rPr>
        <w:t xml:space="preserve">111 </w:t>
      </w:r>
      <w:r w:rsidR="00C760A6">
        <w:rPr>
          <w:lang w:eastAsia="en-AU"/>
        </w:rPr>
        <w:tab/>
      </w:r>
      <w:r>
        <w:rPr>
          <w:lang w:eastAsia="en-AU"/>
        </w:rPr>
        <w:t xml:space="preserve">The Tribunal on remitter must therefore be confined to determining the circumstances in which the Navigation Service Charge will be payable by Glencore to PNO. In respect of the particular use of the shipping channels by a particular ship carrying coal sold by Glencore, the concern of the Tribunal will be to work out a practical mechanism to govern when and how Glencore will invoke </w:t>
      </w:r>
      <w:r w:rsidRPr="005A3DF8">
        <w:rPr>
          <w:lang w:eastAsia="en-AU"/>
        </w:rPr>
        <w:t>s 48(4)(b) of the PMA Act to represent to PNO that it accepts the obligation to pay the Navigation Service Charge.</w:t>
      </w:r>
      <w:r>
        <w:rPr>
          <w:lang w:eastAsia="en-AU"/>
        </w:rPr>
        <w:t xml:space="preserve">   </w:t>
      </w:r>
    </w:p>
    <w:p w:rsidR="00C760A6" w:rsidRDefault="00867D0B" w:rsidP="00867D0B">
      <w:pPr>
        <w:pStyle w:val="ParaNumbering"/>
        <w:numPr>
          <w:ilvl w:val="0"/>
          <w:numId w:val="0"/>
        </w:numPr>
        <w:ind w:hanging="720"/>
        <w:rPr>
          <w:lang w:eastAsia="en-AU"/>
        </w:rPr>
      </w:pPr>
      <w:r>
        <w:rPr>
          <w:sz w:val="20"/>
          <w:lang w:eastAsia="en-AU"/>
        </w:rPr>
        <w:t>12</w:t>
      </w:r>
      <w:r>
        <w:rPr>
          <w:sz w:val="20"/>
          <w:lang w:eastAsia="en-AU"/>
        </w:rPr>
        <w:tab/>
      </w:r>
      <w:r w:rsidR="00C760A6">
        <w:rPr>
          <w:lang w:eastAsia="en-AU"/>
        </w:rPr>
        <w:t xml:space="preserve">The High Court varied the orders of the Full Court such that the remitter to the Tribunal is </w:t>
      </w:r>
      <w:r w:rsidR="00C760A6" w:rsidRPr="00C760A6">
        <w:rPr>
          <w:lang w:eastAsia="en-AU"/>
        </w:rPr>
        <w:t>confined to re</w:t>
      </w:r>
      <w:r w:rsidR="00064D12">
        <w:rPr>
          <w:lang w:eastAsia="en-AU"/>
        </w:rPr>
        <w:t>-</w:t>
      </w:r>
      <w:r w:rsidR="00C760A6" w:rsidRPr="00C760A6">
        <w:rPr>
          <w:lang w:eastAsia="en-AU"/>
        </w:rPr>
        <w:t xml:space="preserve">determining the scope of the </w:t>
      </w:r>
      <w:r w:rsidR="009242CC">
        <w:rPr>
          <w:lang w:eastAsia="en-AU"/>
        </w:rPr>
        <w:t>navigation service charge</w:t>
      </w:r>
      <w:r w:rsidR="00C760A6">
        <w:rPr>
          <w:lang w:eastAsia="en-AU"/>
        </w:rPr>
        <w:t xml:space="preserve"> (that is, the description of the vessels using the shipping channels to which the navigation service charge is applicable).</w:t>
      </w:r>
    </w:p>
    <w:p w:rsidR="00D2244B" w:rsidRDefault="00D2244B" w:rsidP="00C760A6">
      <w:pPr>
        <w:pStyle w:val="Heading2"/>
        <w:rPr>
          <w:lang w:eastAsia="en-AU"/>
        </w:rPr>
      </w:pPr>
      <w:r>
        <w:rPr>
          <w:lang w:eastAsia="en-AU"/>
        </w:rPr>
        <w:t>The Tribunal’s powers on the remitter</w:t>
      </w:r>
    </w:p>
    <w:p w:rsidR="00F0000D" w:rsidRDefault="00867D0B" w:rsidP="00867D0B">
      <w:pPr>
        <w:pStyle w:val="ParaNumbering"/>
        <w:numPr>
          <w:ilvl w:val="0"/>
          <w:numId w:val="0"/>
        </w:numPr>
        <w:ind w:hanging="720"/>
        <w:rPr>
          <w:lang w:eastAsia="en-AU"/>
        </w:rPr>
      </w:pPr>
      <w:r>
        <w:rPr>
          <w:sz w:val="20"/>
          <w:lang w:eastAsia="en-AU"/>
        </w:rPr>
        <w:t>13</w:t>
      </w:r>
      <w:r>
        <w:rPr>
          <w:sz w:val="20"/>
          <w:lang w:eastAsia="en-AU"/>
        </w:rPr>
        <w:tab/>
      </w:r>
      <w:r w:rsidR="00F0000D">
        <w:rPr>
          <w:lang w:eastAsia="en-AU"/>
        </w:rPr>
        <w:t>The Tribunal’s original power in this proceeding was conferred by s 44ZP of the CCA. In s</w:t>
      </w:r>
      <w:r w:rsidR="00375791">
        <w:rPr>
          <w:lang w:eastAsia="en-AU"/>
        </w:rPr>
        <w:t> </w:t>
      </w:r>
      <w:r w:rsidR="00F0000D">
        <w:rPr>
          <w:lang w:eastAsia="en-AU"/>
        </w:rPr>
        <w:t xml:space="preserve">44ZP(3), the Tribunal’s review is described as a re-arbitration of the access dispute. </w:t>
      </w:r>
      <w:r w:rsidR="00F0000D" w:rsidRPr="009C7E61">
        <w:t>The ordinary meaning of the word “re-</w:t>
      </w:r>
      <w:r w:rsidR="00F0000D">
        <w:t>arbitrate</w:t>
      </w:r>
      <w:r w:rsidR="00F0000D" w:rsidRPr="009C7E61">
        <w:t xml:space="preserve">” is to </w:t>
      </w:r>
      <w:r w:rsidR="00F0000D">
        <w:t>arbitrate</w:t>
      </w:r>
      <w:r w:rsidR="00F0000D" w:rsidRPr="009C7E61">
        <w:t xml:space="preserve"> again.</w:t>
      </w:r>
      <w:r w:rsidR="00F0000D">
        <w:t xml:space="preserve"> </w:t>
      </w:r>
      <w:r w:rsidR="00F0000D">
        <w:rPr>
          <w:lang w:eastAsia="en-AU"/>
        </w:rPr>
        <w:t>Together, s</w:t>
      </w:r>
      <w:r w:rsidR="00E75EEE">
        <w:rPr>
          <w:lang w:eastAsia="en-AU"/>
        </w:rPr>
        <w:t>ub</w:t>
      </w:r>
      <w:r w:rsidR="00F0000D">
        <w:rPr>
          <w:lang w:eastAsia="en-AU"/>
        </w:rPr>
        <w:t>s</w:t>
      </w:r>
      <w:r w:rsidR="00E75EEE">
        <w:rPr>
          <w:lang w:eastAsia="en-AU"/>
        </w:rPr>
        <w:t>s</w:t>
      </w:r>
      <w:r w:rsidR="00F0000D">
        <w:rPr>
          <w:lang w:eastAsia="en-AU"/>
        </w:rPr>
        <w:t xml:space="preserve"> 44ZP(4), (6) and (7) provide that:</w:t>
      </w:r>
    </w:p>
    <w:p w:rsidR="00F0000D" w:rsidRDefault="00867D0B" w:rsidP="00867D0B">
      <w:pPr>
        <w:pStyle w:val="ListNo1alt"/>
        <w:numPr>
          <w:ilvl w:val="0"/>
          <w:numId w:val="0"/>
        </w:numPr>
        <w:tabs>
          <w:tab w:val="left" w:pos="720"/>
        </w:tabs>
        <w:ind w:left="720" w:hanging="720"/>
        <w:rPr>
          <w:lang w:eastAsia="en-AU"/>
        </w:rPr>
      </w:pPr>
      <w:r>
        <w:rPr>
          <w:lang w:eastAsia="en-AU"/>
        </w:rPr>
        <w:t>(a)</w:t>
      </w:r>
      <w:r>
        <w:rPr>
          <w:lang w:eastAsia="en-AU"/>
        </w:rPr>
        <w:tab/>
      </w:r>
      <w:r w:rsidR="00F0000D">
        <w:rPr>
          <w:lang w:eastAsia="en-AU"/>
        </w:rPr>
        <w:t>the Tribunal is given the same powers as the ACCC;</w:t>
      </w:r>
    </w:p>
    <w:p w:rsidR="00F0000D" w:rsidRDefault="00867D0B" w:rsidP="00867D0B">
      <w:pPr>
        <w:pStyle w:val="ListNo1alt"/>
        <w:numPr>
          <w:ilvl w:val="0"/>
          <w:numId w:val="0"/>
        </w:numPr>
        <w:tabs>
          <w:tab w:val="left" w:pos="720"/>
        </w:tabs>
        <w:ind w:left="720" w:hanging="720"/>
        <w:rPr>
          <w:lang w:eastAsia="en-AU"/>
        </w:rPr>
      </w:pPr>
      <w:r>
        <w:rPr>
          <w:lang w:eastAsia="en-AU"/>
        </w:rPr>
        <w:t>(b)</w:t>
      </w:r>
      <w:r>
        <w:rPr>
          <w:lang w:eastAsia="en-AU"/>
        </w:rPr>
        <w:tab/>
      </w:r>
      <w:r w:rsidR="00F0000D">
        <w:rPr>
          <w:lang w:eastAsia="en-AU"/>
        </w:rPr>
        <w:t>the Tribunal may either affirm or vary the ACCC’s determination; and</w:t>
      </w:r>
    </w:p>
    <w:p w:rsidR="00F0000D" w:rsidRDefault="00867D0B" w:rsidP="00867D0B">
      <w:pPr>
        <w:pStyle w:val="ListNo1alt"/>
        <w:numPr>
          <w:ilvl w:val="0"/>
          <w:numId w:val="0"/>
        </w:numPr>
        <w:tabs>
          <w:tab w:val="left" w:pos="720"/>
        </w:tabs>
        <w:ind w:left="720" w:hanging="720"/>
        <w:rPr>
          <w:lang w:eastAsia="en-AU"/>
        </w:rPr>
      </w:pPr>
      <w:r>
        <w:rPr>
          <w:lang w:eastAsia="en-AU"/>
        </w:rPr>
        <w:t>(c)</w:t>
      </w:r>
      <w:r>
        <w:rPr>
          <w:lang w:eastAsia="en-AU"/>
        </w:rPr>
        <w:tab/>
      </w:r>
      <w:r w:rsidR="00F0000D">
        <w:rPr>
          <w:lang w:eastAsia="en-AU"/>
        </w:rPr>
        <w:t xml:space="preserve">the Tribunal’s determination is taken to be a determination of the ACCC for all purposes of Pt IIIA. </w:t>
      </w:r>
    </w:p>
    <w:p w:rsidR="00F0000D" w:rsidRDefault="00867D0B" w:rsidP="00867D0B">
      <w:pPr>
        <w:pStyle w:val="ParaNumbering"/>
        <w:numPr>
          <w:ilvl w:val="0"/>
          <w:numId w:val="0"/>
        </w:numPr>
        <w:ind w:hanging="720"/>
        <w:rPr>
          <w:lang w:eastAsia="en-AU"/>
        </w:rPr>
      </w:pPr>
      <w:r>
        <w:rPr>
          <w:sz w:val="20"/>
          <w:lang w:eastAsia="en-AU"/>
        </w:rPr>
        <w:t>14</w:t>
      </w:r>
      <w:r>
        <w:rPr>
          <w:sz w:val="20"/>
          <w:lang w:eastAsia="en-AU"/>
        </w:rPr>
        <w:tab/>
      </w:r>
      <w:r w:rsidR="00F0000D">
        <w:rPr>
          <w:lang w:eastAsia="en-AU"/>
        </w:rPr>
        <w:t>The language of those subsections is similar to that found in many statutes that provide for review by an administrative tribunal of administrative decisions including, for example, s</w:t>
      </w:r>
      <w:r w:rsidR="00E75EEE">
        <w:rPr>
          <w:lang w:eastAsia="en-AU"/>
        </w:rPr>
        <w:t>ubs</w:t>
      </w:r>
      <w:r w:rsidR="00F0000D">
        <w:rPr>
          <w:lang w:eastAsia="en-AU"/>
        </w:rPr>
        <w:t xml:space="preserve">s 43(1) and (6) of the </w:t>
      </w:r>
      <w:r w:rsidR="00F0000D" w:rsidRPr="00EC7767">
        <w:rPr>
          <w:i/>
          <w:lang w:eastAsia="en-AU"/>
        </w:rPr>
        <w:t>Administrative Appeals Tribunal Act 1975</w:t>
      </w:r>
      <w:r w:rsidR="00F0000D" w:rsidRPr="00EC7767">
        <w:rPr>
          <w:lang w:eastAsia="en-AU"/>
        </w:rPr>
        <w:t xml:space="preserve"> (Cth)</w:t>
      </w:r>
      <w:r w:rsidR="00D33AB6">
        <w:rPr>
          <w:lang w:eastAsia="en-AU"/>
        </w:rPr>
        <w:t xml:space="preserve"> (</w:t>
      </w:r>
      <w:r w:rsidR="00D33AB6">
        <w:rPr>
          <w:b/>
          <w:lang w:eastAsia="en-AU"/>
        </w:rPr>
        <w:t>AAT Act</w:t>
      </w:r>
      <w:r w:rsidR="00D33AB6">
        <w:rPr>
          <w:lang w:eastAsia="en-AU"/>
        </w:rPr>
        <w:t>)</w:t>
      </w:r>
      <w:r w:rsidR="00F0000D" w:rsidRPr="00C31053">
        <w:rPr>
          <w:lang w:eastAsia="en-AU"/>
        </w:rPr>
        <w:t>.</w:t>
      </w:r>
      <w:r w:rsidR="00F0000D">
        <w:rPr>
          <w:lang w:eastAsia="en-AU"/>
        </w:rPr>
        <w:t xml:space="preserve"> The combined effect of s</w:t>
      </w:r>
      <w:r w:rsidR="00E75EEE">
        <w:rPr>
          <w:lang w:eastAsia="en-AU"/>
        </w:rPr>
        <w:t>ubs</w:t>
      </w:r>
      <w:r w:rsidR="00F0000D">
        <w:rPr>
          <w:lang w:eastAsia="en-AU"/>
        </w:rPr>
        <w:t>s 44ZP(4), (6) and (7) make clear that t</w:t>
      </w:r>
      <w:r w:rsidR="00F0000D">
        <w:t>he Tribunal’s function is not</w:t>
      </w:r>
      <w:r w:rsidR="00F0000D">
        <w:rPr>
          <w:lang w:eastAsia="en-AU"/>
        </w:rPr>
        <w:t xml:space="preserve"> limited to the identification and correction of error in the</w:t>
      </w:r>
      <w:r w:rsidR="00F0000D">
        <w:t xml:space="preserve"> ACCC’s arbitral determination; the Tribunal’s function is to re-arbitrate the dispute between the access seeker and access provider: see </w:t>
      </w:r>
      <w:r w:rsidR="00F0000D" w:rsidRPr="009C7E61">
        <w:rPr>
          <w:i/>
          <w:lang w:eastAsia="en-AU"/>
        </w:rPr>
        <w:t xml:space="preserve">Application by Port of Newcastle Operations </w:t>
      </w:r>
      <w:r w:rsidR="00F0000D" w:rsidRPr="009C7E61">
        <w:rPr>
          <w:lang w:eastAsia="en-AU"/>
        </w:rPr>
        <w:t>at [4]</w:t>
      </w:r>
      <w:r w:rsidR="00F0000D" w:rsidRPr="009C7E61">
        <w:t xml:space="preserve"> </w:t>
      </w:r>
      <w:r w:rsidR="00F0000D">
        <w:t xml:space="preserve">and [36]. </w:t>
      </w:r>
      <w:r w:rsidR="00F0000D" w:rsidRPr="0043702B">
        <w:rPr>
          <w:lang w:eastAsia="en-AU"/>
        </w:rPr>
        <w:t xml:space="preserve">In that sense, the Tribunal “stands in the shoes” of the </w:t>
      </w:r>
      <w:r w:rsidR="00F0000D">
        <w:rPr>
          <w:lang w:eastAsia="en-AU"/>
        </w:rPr>
        <w:t>ACCC</w:t>
      </w:r>
      <w:r w:rsidR="00F0000D" w:rsidRPr="0043702B">
        <w:rPr>
          <w:lang w:eastAsia="en-AU"/>
        </w:rPr>
        <w:t xml:space="preserve">: </w:t>
      </w:r>
      <w:r w:rsidR="00F0000D" w:rsidRPr="0043702B">
        <w:rPr>
          <w:i/>
          <w:lang w:eastAsia="en-AU"/>
        </w:rPr>
        <w:t>O’Sullivan v Australian Securities and Investments Commission</w:t>
      </w:r>
      <w:r w:rsidR="00F0000D" w:rsidRPr="0043702B">
        <w:rPr>
          <w:lang w:eastAsia="en-AU"/>
        </w:rPr>
        <w:t xml:space="preserve"> </w:t>
      </w:r>
      <w:r w:rsidR="00F0000D">
        <w:rPr>
          <w:lang w:eastAsia="en-AU"/>
        </w:rPr>
        <w:t>(2018) 160 ALD 233</w:t>
      </w:r>
      <w:r w:rsidR="00F0000D" w:rsidRPr="0043702B">
        <w:rPr>
          <w:lang w:eastAsia="en-AU"/>
        </w:rPr>
        <w:t xml:space="preserve"> at [36]</w:t>
      </w:r>
      <w:r w:rsidR="00E75EEE">
        <w:rPr>
          <w:lang w:eastAsia="en-AU"/>
        </w:rPr>
        <w:t xml:space="preserve"> per Perram J</w:t>
      </w:r>
      <w:r w:rsidR="00F0000D" w:rsidRPr="0043702B">
        <w:rPr>
          <w:lang w:eastAsia="en-AU"/>
        </w:rPr>
        <w:t xml:space="preserve">, citing </w:t>
      </w:r>
      <w:r w:rsidR="00F0000D" w:rsidRPr="00177558">
        <w:rPr>
          <w:i/>
          <w:lang w:eastAsia="en-AU"/>
        </w:rPr>
        <w:t>Shi v Migration Agents Registration Authority</w:t>
      </w:r>
      <w:r w:rsidR="00F0000D" w:rsidRPr="00EC7767">
        <w:rPr>
          <w:lang w:eastAsia="en-AU"/>
        </w:rPr>
        <w:t xml:space="preserve"> (2008) 235 CLR 286</w:t>
      </w:r>
      <w:r w:rsidR="00F0000D" w:rsidRPr="009C7E61">
        <w:t xml:space="preserve"> at [40], [100] and [134]</w:t>
      </w:r>
      <w:r w:rsidR="00F0000D" w:rsidRPr="0043702B">
        <w:rPr>
          <w:lang w:eastAsia="en-AU"/>
        </w:rPr>
        <w:t>.</w:t>
      </w:r>
      <w:r w:rsidR="00F0000D">
        <w:rPr>
          <w:lang w:eastAsia="en-AU"/>
        </w:rPr>
        <w:t xml:space="preserve"> </w:t>
      </w:r>
      <w:r w:rsidR="00F0000D" w:rsidRPr="00C31053">
        <w:rPr>
          <w:lang w:eastAsia="en-AU"/>
        </w:rPr>
        <w:t xml:space="preserve">In that respect, the </w:t>
      </w:r>
      <w:r w:rsidR="00F0000D">
        <w:rPr>
          <w:lang w:eastAsia="en-AU"/>
        </w:rPr>
        <w:t>Tribunal’s functions and powers are</w:t>
      </w:r>
      <w:r w:rsidR="00F0000D" w:rsidRPr="00C31053">
        <w:rPr>
          <w:lang w:eastAsia="en-AU"/>
        </w:rPr>
        <w:t xml:space="preserve"> analogous to th</w:t>
      </w:r>
      <w:r w:rsidR="00F0000D">
        <w:rPr>
          <w:lang w:eastAsia="en-AU"/>
        </w:rPr>
        <w:t>ose</w:t>
      </w:r>
      <w:r w:rsidR="00F0000D" w:rsidRPr="00C31053">
        <w:rPr>
          <w:lang w:eastAsia="en-AU"/>
        </w:rPr>
        <w:t xml:space="preserve"> </w:t>
      </w:r>
      <w:r w:rsidR="00F0000D">
        <w:rPr>
          <w:lang w:eastAsia="en-AU"/>
        </w:rPr>
        <w:t>conferred</w:t>
      </w:r>
      <w:r w:rsidR="00F0000D" w:rsidRPr="00C31053">
        <w:rPr>
          <w:lang w:eastAsia="en-AU"/>
        </w:rPr>
        <w:t xml:space="preserve"> under Pt IX of the </w:t>
      </w:r>
      <w:r w:rsidR="009242CC">
        <w:rPr>
          <w:lang w:eastAsia="en-AU"/>
        </w:rPr>
        <w:t>CCA</w:t>
      </w:r>
      <w:r w:rsidR="00F0000D" w:rsidRPr="00C31053">
        <w:rPr>
          <w:lang w:eastAsia="en-AU"/>
        </w:rPr>
        <w:t xml:space="preserve">: </w:t>
      </w:r>
      <w:r w:rsidR="00F0000D" w:rsidRPr="00367925">
        <w:rPr>
          <w:lang w:eastAsia="en-AU"/>
        </w:rPr>
        <w:t xml:space="preserve">see for example </w:t>
      </w:r>
      <w:r w:rsidR="00F0000D" w:rsidRPr="0070717C">
        <w:rPr>
          <w:i/>
          <w:lang w:eastAsia="en-AU"/>
        </w:rPr>
        <w:t>Re Queensland Co</w:t>
      </w:r>
      <w:r w:rsidR="00F0000D" w:rsidRPr="0070717C">
        <w:rPr>
          <w:i/>
          <w:lang w:eastAsia="en-AU"/>
        </w:rPr>
        <w:noBreakHyphen/>
        <w:t>operative Milling Association Ltd</w:t>
      </w:r>
      <w:r w:rsidR="00F0000D" w:rsidRPr="00177558">
        <w:rPr>
          <w:lang w:eastAsia="en-AU"/>
        </w:rPr>
        <w:t xml:space="preserve"> (1976) </w:t>
      </w:r>
      <w:r w:rsidR="00F0000D" w:rsidRPr="00EC7767">
        <w:rPr>
          <w:lang w:eastAsia="en-AU"/>
        </w:rPr>
        <w:t>8 ALR 481</w:t>
      </w:r>
      <w:r w:rsidR="00F0000D">
        <w:rPr>
          <w:lang w:eastAsia="en-AU"/>
        </w:rPr>
        <w:t xml:space="preserve"> </w:t>
      </w:r>
      <w:r w:rsidR="00F0000D" w:rsidRPr="00EC7767">
        <w:rPr>
          <w:lang w:eastAsia="en-AU"/>
        </w:rPr>
        <w:t xml:space="preserve">at 486 (Woodward J, Mr J Shipton and Prof M Brunt); </w:t>
      </w:r>
      <w:r w:rsidR="00F0000D" w:rsidRPr="0070717C">
        <w:rPr>
          <w:i/>
          <w:lang w:eastAsia="en-AU"/>
        </w:rPr>
        <w:t>Re Herald &amp; Weekly Times Ltd</w:t>
      </w:r>
      <w:r w:rsidR="00F0000D" w:rsidRPr="00EC7767">
        <w:rPr>
          <w:lang w:eastAsia="en-AU"/>
        </w:rPr>
        <w:t xml:space="preserve"> (1978) 17 ALR 281 (</w:t>
      </w:r>
      <w:r w:rsidR="00F0000D" w:rsidRPr="0070717C">
        <w:rPr>
          <w:b/>
          <w:i/>
          <w:lang w:eastAsia="en-AU"/>
        </w:rPr>
        <w:t>Re Herald &amp; Weekly Times</w:t>
      </w:r>
      <w:r w:rsidR="00F0000D" w:rsidRPr="00EC7767">
        <w:rPr>
          <w:lang w:eastAsia="en-AU"/>
        </w:rPr>
        <w:t xml:space="preserve">) at 295-296 (Deane J, Mr J Shipton and Mr J Walker); </w:t>
      </w:r>
      <w:r w:rsidR="00F0000D" w:rsidRPr="0070717C">
        <w:rPr>
          <w:i/>
          <w:lang w:eastAsia="en-AU"/>
        </w:rPr>
        <w:t>Australian Consumers’ Association’s Application (Re Media Council of Australia (No 2))</w:t>
      </w:r>
      <w:r w:rsidR="00F0000D" w:rsidRPr="00EC7767">
        <w:rPr>
          <w:lang w:eastAsia="en-AU"/>
        </w:rPr>
        <w:t xml:space="preserve"> (1987) 82 ALR 115 at 126 (Lockhart J, Prof M Brunt and Dr B Aldrich); </w:t>
      </w:r>
      <w:r w:rsidR="00F0000D" w:rsidRPr="0070717C">
        <w:rPr>
          <w:i/>
          <w:lang w:eastAsia="en-AU"/>
        </w:rPr>
        <w:t>Application by Medicines Australia Inc</w:t>
      </w:r>
      <w:r w:rsidR="00F0000D" w:rsidRPr="00EC7767">
        <w:rPr>
          <w:lang w:eastAsia="en-AU"/>
        </w:rPr>
        <w:t xml:space="preserve"> [2007] ACompT 4; ATPR 42-164 at [135] and [138] </w:t>
      </w:r>
      <w:r w:rsidR="00F0000D" w:rsidRPr="00C31053">
        <w:rPr>
          <w:lang w:eastAsia="en-AU"/>
        </w:rPr>
        <w:t>(French J, Mr G Latta and Prof C Walsh). As those decisions of the Tribunal</w:t>
      </w:r>
      <w:r w:rsidR="00F0000D">
        <w:rPr>
          <w:lang w:eastAsia="en-AU"/>
        </w:rPr>
        <w:t xml:space="preserve"> make clear, the task of the Tribunal is not to review the reasons of the decision-maker, but the reasons may “prove a convenient reference point for defining the matters which are truly in dispute” (</w:t>
      </w:r>
      <w:r w:rsidR="00F0000D" w:rsidRPr="0070717C">
        <w:rPr>
          <w:i/>
          <w:lang w:eastAsia="en-AU"/>
        </w:rPr>
        <w:t>Re Herald &amp; Weekly Times</w:t>
      </w:r>
      <w:r w:rsidR="00F0000D">
        <w:rPr>
          <w:lang w:eastAsia="en-AU"/>
        </w:rPr>
        <w:t xml:space="preserve"> at 296).</w:t>
      </w:r>
    </w:p>
    <w:p w:rsidR="00F0000D" w:rsidRDefault="00867D0B" w:rsidP="00867D0B">
      <w:pPr>
        <w:pStyle w:val="ParaNumbering"/>
        <w:numPr>
          <w:ilvl w:val="0"/>
          <w:numId w:val="0"/>
        </w:numPr>
        <w:ind w:hanging="720"/>
        <w:rPr>
          <w:lang w:eastAsia="en-AU"/>
        </w:rPr>
      </w:pPr>
      <w:r>
        <w:rPr>
          <w:sz w:val="20"/>
          <w:lang w:eastAsia="en-AU"/>
        </w:rPr>
        <w:t>15</w:t>
      </w:r>
      <w:r>
        <w:rPr>
          <w:sz w:val="20"/>
          <w:lang w:eastAsia="en-AU"/>
        </w:rPr>
        <w:tab/>
      </w:r>
      <w:r w:rsidR="00F0000D">
        <w:rPr>
          <w:lang w:eastAsia="en-AU"/>
        </w:rPr>
        <w:t xml:space="preserve">A particular feature of the ACCC’s functions and powers under Div 3 of Pt IIIA, which are given to the Tribunal on re-arbitration, should be noted. As observed by the Tribunal in </w:t>
      </w:r>
      <w:r w:rsidR="00F0000D" w:rsidRPr="009C7E61">
        <w:rPr>
          <w:i/>
          <w:lang w:eastAsia="en-AU"/>
        </w:rPr>
        <w:t xml:space="preserve">Application by Port of Newcastle Operations </w:t>
      </w:r>
      <w:r w:rsidR="00F0000D" w:rsidRPr="009C7E61">
        <w:rPr>
          <w:lang w:eastAsia="en-AU"/>
        </w:rPr>
        <w:t>at [</w:t>
      </w:r>
      <w:r w:rsidR="00F0000D">
        <w:rPr>
          <w:lang w:eastAsia="en-AU"/>
        </w:rPr>
        <w:t>32</w:t>
      </w:r>
      <w:r w:rsidR="00F0000D" w:rsidRPr="009C7E61">
        <w:rPr>
          <w:lang w:eastAsia="en-AU"/>
        </w:rPr>
        <w:t>]</w:t>
      </w:r>
      <w:r w:rsidR="00F0000D">
        <w:t>, a</w:t>
      </w:r>
      <w:r w:rsidR="00F0000D" w:rsidRPr="00FF218B">
        <w:t>ccess disputes within the context of Pt IIIA are bilateral in nature</w:t>
      </w:r>
      <w:r w:rsidR="00F0000D">
        <w:t>. The ACCC is empowered to arbitrate a notified dispute between an access seeker (referred to as a third party) and the access provider. The arbitral determination that is made by the ACCC under s 44V is binding only on the parties to the arbitration and has no wider application. The issues in dispute are defined by the parties to the arbitration. The issues will generally be defined by the original notification of the dispute to the ACCC under s</w:t>
      </w:r>
      <w:r w:rsidR="008E2B16">
        <w:t> </w:t>
      </w:r>
      <w:r w:rsidR="00F0000D">
        <w:t xml:space="preserve">44S, but the ACCC is empowered by s 44V(2) </w:t>
      </w:r>
      <w:r w:rsidR="008E2B16">
        <w:t xml:space="preserve">to </w:t>
      </w:r>
      <w:r w:rsidR="00F0000D" w:rsidRPr="00872D57">
        <w:t>deal with any matter relating to access by the third party to the service, including matters that were not the basis for notification of the dispute</w:t>
      </w:r>
      <w:r w:rsidR="00F0000D">
        <w:t>. The ACCC’s powers are subject to certain restrictions set out in s 44W and certain mandatory considerations set out in s 44X. In conducting the re-arbitration, the Tribunal performs the same function and exercises the same powers subject to the same restrictions and mandatory considerations.</w:t>
      </w:r>
    </w:p>
    <w:p w:rsidR="00D2244B" w:rsidRDefault="00867D0B" w:rsidP="00867D0B">
      <w:pPr>
        <w:pStyle w:val="ParaNumbering"/>
        <w:numPr>
          <w:ilvl w:val="0"/>
          <w:numId w:val="0"/>
        </w:numPr>
        <w:ind w:hanging="720"/>
        <w:rPr>
          <w:lang w:eastAsia="en-AU"/>
        </w:rPr>
      </w:pPr>
      <w:r>
        <w:rPr>
          <w:sz w:val="20"/>
          <w:lang w:eastAsia="en-AU"/>
        </w:rPr>
        <w:t>16</w:t>
      </w:r>
      <w:r>
        <w:rPr>
          <w:sz w:val="20"/>
          <w:lang w:eastAsia="en-AU"/>
        </w:rPr>
        <w:tab/>
      </w:r>
      <w:r w:rsidR="00D2244B">
        <w:rPr>
          <w:lang w:eastAsia="en-AU"/>
        </w:rPr>
        <w:t xml:space="preserve">The Tribunal’s powers on remittal are governed by the orders of the Full Court, as varied by the orders of the High Court. Those orders were made under s 44ZR(4) of the CCA which provides that the Court may make orders setting aside the decision of the Tribunal and remitting the matter to be decided again by the Tribunal in accordance with the directions of the Court. </w:t>
      </w:r>
      <w:r w:rsidR="007C5347">
        <w:rPr>
          <w:lang w:eastAsia="en-AU"/>
        </w:rPr>
        <w:t>It can be noted that that provision is similar in form to s 44(5) of the</w:t>
      </w:r>
      <w:r w:rsidR="007C5347" w:rsidRPr="005B3A0C">
        <w:rPr>
          <w:lang w:eastAsia="en-AU"/>
        </w:rPr>
        <w:t xml:space="preserve"> </w:t>
      </w:r>
      <w:r w:rsidR="00196159" w:rsidRPr="00A412B6">
        <w:rPr>
          <w:lang w:eastAsia="en-AU"/>
        </w:rPr>
        <w:t>AAT Act</w:t>
      </w:r>
      <w:r w:rsidR="007C5347" w:rsidRPr="005B3A0C">
        <w:rPr>
          <w:lang w:eastAsia="en-AU"/>
        </w:rPr>
        <w:t>.</w:t>
      </w:r>
    </w:p>
    <w:p w:rsidR="00D2244B" w:rsidRDefault="00867D0B" w:rsidP="00867D0B">
      <w:pPr>
        <w:pStyle w:val="ParaNumbering"/>
        <w:numPr>
          <w:ilvl w:val="0"/>
          <w:numId w:val="0"/>
        </w:numPr>
        <w:ind w:hanging="720"/>
        <w:rPr>
          <w:lang w:eastAsia="en-AU"/>
        </w:rPr>
      </w:pPr>
      <w:r>
        <w:rPr>
          <w:sz w:val="20"/>
          <w:lang w:eastAsia="en-AU"/>
        </w:rPr>
        <w:t>17</w:t>
      </w:r>
      <w:r>
        <w:rPr>
          <w:sz w:val="20"/>
          <w:lang w:eastAsia="en-AU"/>
        </w:rPr>
        <w:tab/>
      </w:r>
      <w:r w:rsidR="00D2244B">
        <w:rPr>
          <w:lang w:eastAsia="en-AU"/>
        </w:rPr>
        <w:t xml:space="preserve">In the present matter, the Full Court set aside the original determination of the Tribunal and remitted the matter to the Tribunal for “determination according to law”. It was implicit in that order that the further determination by the Tribunal </w:t>
      </w:r>
      <w:r w:rsidR="00824B97">
        <w:rPr>
          <w:lang w:eastAsia="en-AU"/>
        </w:rPr>
        <w:t>is</w:t>
      </w:r>
      <w:r w:rsidR="00D2244B">
        <w:rPr>
          <w:lang w:eastAsia="en-AU"/>
        </w:rPr>
        <w:t xml:space="preserve"> to be made in a manner that </w:t>
      </w:r>
      <w:r w:rsidR="00824B97">
        <w:rPr>
          <w:lang w:eastAsia="en-AU"/>
        </w:rPr>
        <w:t>gives</w:t>
      </w:r>
      <w:r w:rsidR="00D2244B">
        <w:rPr>
          <w:lang w:eastAsia="en-AU"/>
        </w:rPr>
        <w:t xml:space="preserve"> effect to the Full Court’s conclusions on the specific legal issues in dispute before the Full Court. In the course of its reasoning, the Full Court emphasised that its decision concerned the legal framework within which the Tribunal’s decision </w:t>
      </w:r>
      <w:r w:rsidR="00824B97">
        <w:rPr>
          <w:lang w:eastAsia="en-AU"/>
        </w:rPr>
        <w:t>wa</w:t>
      </w:r>
      <w:r w:rsidR="00D2244B">
        <w:rPr>
          <w:lang w:eastAsia="en-AU"/>
        </w:rPr>
        <w:t>s made; whereas matters of fact and economic analysis are for the Tribunal to determine. The Full Court observed (at [5]):</w:t>
      </w:r>
    </w:p>
    <w:p w:rsidR="00D2244B" w:rsidRDefault="00D2244B" w:rsidP="00D2244B">
      <w:pPr>
        <w:pStyle w:val="Quote1"/>
        <w:rPr>
          <w:lang w:eastAsia="en-AU"/>
        </w:rPr>
      </w:pPr>
      <w:r>
        <w:rPr>
          <w:lang w:eastAsia="en-AU"/>
        </w:rPr>
        <w:t xml:space="preserve">… This Court, on review, is concerned with whether the legal framework for decision-making was observed and whether the law was properly understood and applied by the Tribunal in making its decision. Matters of fact and contextual economic analysis are for the Tribunal. As has been observed previously in a number of decisions in which review has been sought of a Tribunal decision under Pt IIIA, it is not this Court’s function to resolve the difficult and complex matters of judgment the Tribunal may be called upon to resolve (and thereby slide into impermissible merits review) but is rather to ensure the decision of the Tribunal accords with the law: </w:t>
      </w:r>
      <w:r w:rsidRPr="00D2244B">
        <w:rPr>
          <w:i/>
          <w:lang w:eastAsia="en-AU"/>
        </w:rPr>
        <w:t>Australian Energy Regulator v Australian Competition Tribunal (No 2)</w:t>
      </w:r>
      <w:r>
        <w:rPr>
          <w:lang w:eastAsia="en-AU"/>
        </w:rPr>
        <w:t xml:space="preserve"> (2017) 255 FCR 274; 345 ALR 1; 155 ALD 474; [2017] FCAFC 79 at [44], [133]. </w:t>
      </w:r>
    </w:p>
    <w:p w:rsidR="00D2244B" w:rsidRDefault="00867D0B" w:rsidP="00867D0B">
      <w:pPr>
        <w:pStyle w:val="ParaNumbering"/>
        <w:numPr>
          <w:ilvl w:val="0"/>
          <w:numId w:val="0"/>
        </w:numPr>
        <w:ind w:hanging="720"/>
        <w:rPr>
          <w:lang w:eastAsia="en-AU"/>
        </w:rPr>
      </w:pPr>
      <w:r>
        <w:rPr>
          <w:sz w:val="20"/>
          <w:lang w:eastAsia="en-AU"/>
        </w:rPr>
        <w:t>18</w:t>
      </w:r>
      <w:r>
        <w:rPr>
          <w:sz w:val="20"/>
          <w:lang w:eastAsia="en-AU"/>
        </w:rPr>
        <w:tab/>
      </w:r>
      <w:r w:rsidR="00F0000D">
        <w:rPr>
          <w:lang w:eastAsia="en-AU"/>
        </w:rPr>
        <w:t>Consistently with that observation, while the Full Court concluded that the Tribunal had erred in law when defining the scope of the determination, the Full Court confirmed that it was for the Tribunal</w:t>
      </w:r>
      <w:r w:rsidR="00824B97">
        <w:rPr>
          <w:lang w:eastAsia="en-AU"/>
        </w:rPr>
        <w:t>, on remittal,</w:t>
      </w:r>
      <w:r w:rsidR="00F0000D">
        <w:rPr>
          <w:lang w:eastAsia="en-AU"/>
        </w:rPr>
        <w:t xml:space="preserve"> to define the scope of the determination. The Full Court concluded (at [169]):</w:t>
      </w:r>
    </w:p>
    <w:p w:rsidR="00F0000D" w:rsidRDefault="00F0000D" w:rsidP="00F0000D">
      <w:pPr>
        <w:pStyle w:val="Quote1"/>
        <w:rPr>
          <w:lang w:eastAsia="en-AU"/>
        </w:rPr>
      </w:pPr>
      <w:r>
        <w:rPr>
          <w:lang w:eastAsia="en-AU"/>
        </w:rPr>
        <w:t xml:space="preserve">… It is, however, for the Tribunal, not this Court, to fashion the scope of the terms. We would set aside the determination and remit the matter to the Tribunal to fix the terms of the scope of the determination in the light of these reasons. The working out of arrangements in the terms of access for Glencore to stipulate a mechanism by which the determined access price would apply to ships carrying coal from Glencore’s mine would also be a matter for the Tribunal in the re-arbitration. </w:t>
      </w:r>
    </w:p>
    <w:p w:rsidR="007C5347" w:rsidRDefault="00867D0B" w:rsidP="00867D0B">
      <w:pPr>
        <w:pStyle w:val="ParaNumbering"/>
        <w:numPr>
          <w:ilvl w:val="0"/>
          <w:numId w:val="0"/>
        </w:numPr>
        <w:ind w:hanging="720"/>
        <w:rPr>
          <w:lang w:eastAsia="en-AU"/>
        </w:rPr>
      </w:pPr>
      <w:r>
        <w:rPr>
          <w:sz w:val="20"/>
          <w:lang w:eastAsia="en-AU"/>
        </w:rPr>
        <w:t>19</w:t>
      </w:r>
      <w:r>
        <w:rPr>
          <w:sz w:val="20"/>
          <w:lang w:eastAsia="en-AU"/>
        </w:rPr>
        <w:tab/>
      </w:r>
      <w:r w:rsidR="007C5347">
        <w:rPr>
          <w:lang w:eastAsia="en-AU"/>
        </w:rPr>
        <w:t>The Full Court also concluded that the Tribunal had erred in law with respect to its determination of the navigation service charge. The Full Court similarly remitted the determination of that charge to the Tribunal. The High Court overruled that aspect of the Full Court’s decision and varied the Full Court’s order by adding an additional order which stipulated that: “</w:t>
      </w:r>
      <w:r w:rsidR="005B3A0C">
        <w:rPr>
          <w:lang w:eastAsia="en-AU"/>
        </w:rPr>
        <w:t>[t]</w:t>
      </w:r>
      <w:r w:rsidR="007C5347" w:rsidRPr="005B69F5">
        <w:rPr>
          <w:lang w:eastAsia="en-AU"/>
        </w:rPr>
        <w:t>he determination according to law by the Tribunal on remitter pursuant to order 1 be confined to redetermining the scope o</w:t>
      </w:r>
      <w:r w:rsidR="007C5347">
        <w:rPr>
          <w:lang w:eastAsia="en-AU"/>
        </w:rPr>
        <w:t>f the Navigation Service Charge</w:t>
      </w:r>
      <w:r w:rsidR="007C5347" w:rsidRPr="005B69F5">
        <w:rPr>
          <w:lang w:eastAsia="en-AU"/>
        </w:rPr>
        <w:t>"</w:t>
      </w:r>
      <w:r w:rsidR="007C5347">
        <w:rPr>
          <w:lang w:eastAsia="en-AU"/>
        </w:rPr>
        <w:t>.</w:t>
      </w:r>
    </w:p>
    <w:p w:rsidR="00196159" w:rsidRDefault="00867D0B" w:rsidP="00867D0B">
      <w:pPr>
        <w:pStyle w:val="ParaNumbering"/>
        <w:numPr>
          <w:ilvl w:val="0"/>
          <w:numId w:val="0"/>
        </w:numPr>
        <w:ind w:hanging="720"/>
        <w:rPr>
          <w:lang w:eastAsia="en-AU"/>
        </w:rPr>
      </w:pPr>
      <w:r>
        <w:rPr>
          <w:sz w:val="20"/>
          <w:lang w:eastAsia="en-AU"/>
        </w:rPr>
        <w:t>20</w:t>
      </w:r>
      <w:r>
        <w:rPr>
          <w:sz w:val="20"/>
          <w:lang w:eastAsia="en-AU"/>
        </w:rPr>
        <w:tab/>
      </w:r>
      <w:r w:rsidR="00196159">
        <w:rPr>
          <w:lang w:eastAsia="en-AU"/>
        </w:rPr>
        <w:t>It is well established that, in the absence of an express or implied restriction, an order under s</w:t>
      </w:r>
      <w:r w:rsidR="008E2B16">
        <w:rPr>
          <w:lang w:eastAsia="en-AU"/>
        </w:rPr>
        <w:t> </w:t>
      </w:r>
      <w:r w:rsidR="00196159">
        <w:rPr>
          <w:lang w:eastAsia="en-AU"/>
        </w:rPr>
        <w:t xml:space="preserve">44(5) of the AAT Act remitting a matter to the Administrative Appeals Tribunal for determination in accordance with law requires the Tribunal to determine all questions of fact and law relevant to the matter in accordance with the information and circumstances prevailing at the time of the new determination: see </w:t>
      </w:r>
      <w:r w:rsidR="00196159" w:rsidRPr="00196159">
        <w:rPr>
          <w:i/>
          <w:lang w:eastAsia="en-AU"/>
        </w:rPr>
        <w:t>Minister for Immigration and Multicultural Affairs v Wang</w:t>
      </w:r>
      <w:r w:rsidR="00196159" w:rsidRPr="00196159">
        <w:rPr>
          <w:lang w:eastAsia="en-AU"/>
        </w:rPr>
        <w:t xml:space="preserve"> (2003) 215 CLR 518</w:t>
      </w:r>
      <w:r w:rsidR="00196159">
        <w:rPr>
          <w:lang w:eastAsia="en-AU"/>
        </w:rPr>
        <w:t xml:space="preserve"> at [6]-[7] per Gleeson CJ; </w:t>
      </w:r>
      <w:r w:rsidR="00196159" w:rsidRPr="00196159">
        <w:rPr>
          <w:i/>
          <w:lang w:eastAsia="en-AU"/>
        </w:rPr>
        <w:t>Peacock v Repatriation Commission</w:t>
      </w:r>
      <w:r w:rsidR="00196159">
        <w:rPr>
          <w:lang w:eastAsia="en-AU"/>
        </w:rPr>
        <w:t xml:space="preserve"> </w:t>
      </w:r>
      <w:r w:rsidR="00196159" w:rsidRPr="00196159">
        <w:rPr>
          <w:lang w:eastAsia="en-AU"/>
        </w:rPr>
        <w:t>(2007) 161 FCR 256</w:t>
      </w:r>
      <w:r w:rsidR="00196159">
        <w:rPr>
          <w:lang w:eastAsia="en-AU"/>
        </w:rPr>
        <w:t xml:space="preserve"> at [12]-[20] per </w:t>
      </w:r>
      <w:r w:rsidR="00196159" w:rsidRPr="00196159">
        <w:rPr>
          <w:lang w:eastAsia="en-AU"/>
        </w:rPr>
        <w:t>Downes, Lander and Buchanan JJ</w:t>
      </w:r>
      <w:r w:rsidR="00196159">
        <w:rPr>
          <w:lang w:eastAsia="en-AU"/>
        </w:rPr>
        <w:t xml:space="preserve">. The order acts as a remittal of the whole matter in which it is open to the Tribunal to reconsider any aspect of the remitted matter. </w:t>
      </w:r>
    </w:p>
    <w:p w:rsidR="00F0000D" w:rsidRDefault="00867D0B" w:rsidP="00867D0B">
      <w:pPr>
        <w:pStyle w:val="ParaNumbering"/>
        <w:numPr>
          <w:ilvl w:val="0"/>
          <w:numId w:val="0"/>
        </w:numPr>
        <w:ind w:hanging="720"/>
        <w:rPr>
          <w:lang w:eastAsia="en-AU"/>
        </w:rPr>
      </w:pPr>
      <w:r>
        <w:rPr>
          <w:sz w:val="20"/>
          <w:lang w:eastAsia="en-AU"/>
        </w:rPr>
        <w:t>21</w:t>
      </w:r>
      <w:r>
        <w:rPr>
          <w:sz w:val="20"/>
          <w:lang w:eastAsia="en-AU"/>
        </w:rPr>
        <w:tab/>
      </w:r>
      <w:r w:rsidR="00196159">
        <w:rPr>
          <w:lang w:eastAsia="en-AU"/>
        </w:rPr>
        <w:t xml:space="preserve">The Tribunal considers that, in the present matter, </w:t>
      </w:r>
      <w:r w:rsidR="00F0000D">
        <w:rPr>
          <w:lang w:eastAsia="en-AU"/>
        </w:rPr>
        <w:t xml:space="preserve">the Full Court’s order, </w:t>
      </w:r>
      <w:r w:rsidR="007C5347">
        <w:rPr>
          <w:lang w:eastAsia="en-AU"/>
        </w:rPr>
        <w:t>as varied by the High Court,</w:t>
      </w:r>
      <w:r w:rsidR="00196159">
        <w:rPr>
          <w:lang w:eastAsia="en-AU"/>
        </w:rPr>
        <w:t xml:space="preserve"> should be understood in the same manner. The order</w:t>
      </w:r>
      <w:r w:rsidR="00F0000D">
        <w:rPr>
          <w:lang w:eastAsia="en-AU"/>
        </w:rPr>
        <w:t xml:space="preserve"> require</w:t>
      </w:r>
      <w:r w:rsidR="00196159">
        <w:rPr>
          <w:lang w:eastAsia="en-AU"/>
        </w:rPr>
        <w:t>s</w:t>
      </w:r>
      <w:r w:rsidR="00F0000D">
        <w:rPr>
          <w:lang w:eastAsia="en-AU"/>
        </w:rPr>
        <w:t xml:space="preserve"> the Tribunal to decide again </w:t>
      </w:r>
      <w:r w:rsidR="00824B97">
        <w:rPr>
          <w:lang w:eastAsia="en-AU"/>
        </w:rPr>
        <w:t>the access dispute</w:t>
      </w:r>
      <w:r w:rsidR="00BC14B2">
        <w:rPr>
          <w:lang w:eastAsia="en-AU"/>
        </w:rPr>
        <w:t xml:space="preserve"> in light of the legal issues ultimately determined by the High Court</w:t>
      </w:r>
      <w:r w:rsidR="00824B97">
        <w:rPr>
          <w:lang w:eastAsia="en-AU"/>
        </w:rPr>
        <w:t xml:space="preserve">. Generally, it is for the Tribunal to determine the conduct of any further hearing that may be required on remitter, including whether any further evidence may be permitted to be adduced (cf </w:t>
      </w:r>
      <w:r w:rsidR="00824B97" w:rsidRPr="00824B97">
        <w:rPr>
          <w:i/>
          <w:lang w:eastAsia="en-AU"/>
        </w:rPr>
        <w:t>Comcare v Chambers (No 2)</w:t>
      </w:r>
      <w:r w:rsidR="00824B97">
        <w:rPr>
          <w:lang w:eastAsia="en-AU"/>
        </w:rPr>
        <w:t xml:space="preserve"> (2017) 156 ALD 197 at [6]-[8] per Perram J</w:t>
      </w:r>
      <w:r w:rsidR="00BC14B2">
        <w:rPr>
          <w:lang w:eastAsia="en-AU"/>
        </w:rPr>
        <w:t xml:space="preserve">). The Tribunal has the power to determine any issue raised by the parties on the remitter. </w:t>
      </w:r>
    </w:p>
    <w:p w:rsidR="00D2244B" w:rsidRDefault="00867D0B" w:rsidP="00867D0B">
      <w:pPr>
        <w:pStyle w:val="ParaNumbering"/>
        <w:numPr>
          <w:ilvl w:val="0"/>
          <w:numId w:val="0"/>
        </w:numPr>
        <w:ind w:hanging="720"/>
        <w:rPr>
          <w:lang w:eastAsia="en-AU"/>
        </w:rPr>
      </w:pPr>
      <w:r>
        <w:rPr>
          <w:sz w:val="20"/>
          <w:lang w:eastAsia="en-AU"/>
        </w:rPr>
        <w:t>22</w:t>
      </w:r>
      <w:r>
        <w:rPr>
          <w:sz w:val="20"/>
          <w:lang w:eastAsia="en-AU"/>
        </w:rPr>
        <w:tab/>
      </w:r>
      <w:r w:rsidR="00BC14B2">
        <w:rPr>
          <w:lang w:eastAsia="en-AU"/>
        </w:rPr>
        <w:t xml:space="preserve">In the present matter, neither party has sought to adduce further evidence. However, PNO has raised certain additional issues that go beyond the legal issues determined by the High Court. </w:t>
      </w:r>
      <w:r w:rsidR="00D2244B">
        <w:rPr>
          <w:lang w:eastAsia="en-AU"/>
        </w:rPr>
        <w:t xml:space="preserve">The Tribunal considers that it may, on the remitter, vary the ACCC’s arbitral determination in additional respects where those amendments are sought by agreement of the parties, or where they are sought by one of the parties and are not opposed by the other party, and where the amendments are within the powers given to the ACCC under Div 3 of Pt IIIA. </w:t>
      </w:r>
    </w:p>
    <w:p w:rsidR="00705A97" w:rsidRDefault="00C760A6" w:rsidP="00C760A6">
      <w:pPr>
        <w:pStyle w:val="Heading2"/>
        <w:rPr>
          <w:lang w:eastAsia="en-AU"/>
        </w:rPr>
      </w:pPr>
      <w:r>
        <w:rPr>
          <w:lang w:eastAsia="en-AU"/>
        </w:rPr>
        <w:t>Pro</w:t>
      </w:r>
      <w:r w:rsidR="00D2244B">
        <w:rPr>
          <w:lang w:eastAsia="en-AU"/>
        </w:rPr>
        <w:t>posed determination on remitter</w:t>
      </w:r>
      <w:r w:rsidR="00705A97">
        <w:rPr>
          <w:lang w:eastAsia="en-AU"/>
        </w:rPr>
        <w:t xml:space="preserve"> </w:t>
      </w:r>
    </w:p>
    <w:p w:rsidR="004F56A7" w:rsidRDefault="004F56A7" w:rsidP="004F56A7">
      <w:pPr>
        <w:pStyle w:val="Heading3"/>
        <w:rPr>
          <w:lang w:eastAsia="en-AU"/>
        </w:rPr>
      </w:pPr>
      <w:r>
        <w:rPr>
          <w:lang w:eastAsia="en-AU"/>
        </w:rPr>
        <w:t>Initial value of the navigation service charge</w:t>
      </w:r>
    </w:p>
    <w:p w:rsidR="00C760A6" w:rsidRDefault="00867D0B" w:rsidP="00867D0B">
      <w:pPr>
        <w:pStyle w:val="ParaNumbering"/>
        <w:numPr>
          <w:ilvl w:val="0"/>
          <w:numId w:val="0"/>
        </w:numPr>
        <w:ind w:hanging="720"/>
        <w:rPr>
          <w:lang w:eastAsia="en-AU"/>
        </w:rPr>
      </w:pPr>
      <w:r>
        <w:rPr>
          <w:sz w:val="20"/>
          <w:lang w:eastAsia="en-AU"/>
        </w:rPr>
        <w:t>23</w:t>
      </w:r>
      <w:r>
        <w:rPr>
          <w:sz w:val="20"/>
          <w:lang w:eastAsia="en-AU"/>
        </w:rPr>
        <w:tab/>
      </w:r>
      <w:r w:rsidR="004B742D">
        <w:rPr>
          <w:lang w:eastAsia="en-AU"/>
        </w:rPr>
        <w:t xml:space="preserve">As a result of the High Court decision, the Tribunal’s arbitral determination of the </w:t>
      </w:r>
      <w:r w:rsidR="004B742D" w:rsidRPr="00C22E0D">
        <w:rPr>
          <w:lang w:eastAsia="en-AU"/>
        </w:rPr>
        <w:t xml:space="preserve">initial </w:t>
      </w:r>
      <w:r w:rsidR="004B742D">
        <w:rPr>
          <w:lang w:eastAsia="en-AU"/>
        </w:rPr>
        <w:t>navigation service charge</w:t>
      </w:r>
      <w:r w:rsidR="004B742D" w:rsidRPr="00C22E0D">
        <w:rPr>
          <w:lang w:eastAsia="en-AU"/>
        </w:rPr>
        <w:t xml:space="preserve"> </w:t>
      </w:r>
      <w:r w:rsidR="004B742D">
        <w:rPr>
          <w:lang w:eastAsia="en-AU"/>
        </w:rPr>
        <w:t>of</w:t>
      </w:r>
      <w:r w:rsidR="004B742D" w:rsidRPr="00C22E0D">
        <w:rPr>
          <w:lang w:eastAsia="en-AU"/>
        </w:rPr>
        <w:t xml:space="preserve"> $1.0058 per </w:t>
      </w:r>
      <w:r w:rsidR="004B742D">
        <w:rPr>
          <w:lang w:eastAsia="en-AU"/>
        </w:rPr>
        <w:t xml:space="preserve">gross tonne (as at 1 January 2018) has been reinstated. The Tribunal will therefore vary the ACCC determination by inserting that figure in cl 6.1 of the arbitral determination. </w:t>
      </w:r>
    </w:p>
    <w:p w:rsidR="004F56A7" w:rsidRDefault="004F56A7" w:rsidP="004F56A7">
      <w:pPr>
        <w:pStyle w:val="Heading3"/>
        <w:rPr>
          <w:lang w:eastAsia="en-AU"/>
        </w:rPr>
      </w:pPr>
      <w:r>
        <w:rPr>
          <w:lang w:eastAsia="en-AU"/>
        </w:rPr>
        <w:t>Scope of the determination</w:t>
      </w:r>
    </w:p>
    <w:p w:rsidR="004B742D" w:rsidRDefault="00867D0B" w:rsidP="00867D0B">
      <w:pPr>
        <w:pStyle w:val="ParaNumbering"/>
        <w:numPr>
          <w:ilvl w:val="0"/>
          <w:numId w:val="0"/>
        </w:numPr>
        <w:ind w:hanging="720"/>
        <w:rPr>
          <w:lang w:eastAsia="en-AU"/>
        </w:rPr>
      </w:pPr>
      <w:r>
        <w:rPr>
          <w:sz w:val="20"/>
          <w:lang w:eastAsia="en-AU"/>
        </w:rPr>
        <w:t>24</w:t>
      </w:r>
      <w:r>
        <w:rPr>
          <w:sz w:val="20"/>
          <w:lang w:eastAsia="en-AU"/>
        </w:rPr>
        <w:tab/>
      </w:r>
      <w:r w:rsidR="004B742D">
        <w:rPr>
          <w:lang w:eastAsia="en-AU"/>
        </w:rPr>
        <w:t>The High Court concluded that the Tribunal erred in law in confining the scope of the determination to circumstances where Glencore, either directly or by agent, charters a vessel to enter the Port precinct and load Glencore coal. As the above extract of the High Court’s reasons explain</w:t>
      </w:r>
      <w:r w:rsidR="003036D4">
        <w:rPr>
          <w:lang w:eastAsia="en-AU"/>
        </w:rPr>
        <w:t>s</w:t>
      </w:r>
      <w:r w:rsidR="004B742D">
        <w:rPr>
          <w:lang w:eastAsia="en-AU"/>
        </w:rPr>
        <w:t xml:space="preserve">, </w:t>
      </w:r>
      <w:r w:rsidR="00F568DD">
        <w:rPr>
          <w:lang w:eastAsia="en-AU"/>
        </w:rPr>
        <w:t xml:space="preserve">leaving aside the terms of the PMA Act, </w:t>
      </w:r>
      <w:r w:rsidR="000456D1">
        <w:rPr>
          <w:lang w:eastAsia="en-AU"/>
        </w:rPr>
        <w:t xml:space="preserve">Glencore </w:t>
      </w:r>
      <w:r w:rsidR="00F568DD">
        <w:rPr>
          <w:lang w:eastAsia="en-AU"/>
        </w:rPr>
        <w:t>would have</w:t>
      </w:r>
      <w:r w:rsidR="000456D1">
        <w:rPr>
          <w:lang w:eastAsia="en-AU"/>
        </w:rPr>
        <w:t xml:space="preserve"> </w:t>
      </w:r>
      <w:r w:rsidR="00F568DD">
        <w:rPr>
          <w:lang w:eastAsia="en-AU"/>
        </w:rPr>
        <w:t>the</w:t>
      </w:r>
      <w:r w:rsidR="000456D1">
        <w:rPr>
          <w:lang w:eastAsia="en-AU"/>
        </w:rPr>
        <w:t xml:space="preserve"> right to negotiate with PNO about the amount of the navigation service charge that PNO might fix for the shipping channel service</w:t>
      </w:r>
      <w:r w:rsidR="004B742D">
        <w:rPr>
          <w:lang w:eastAsia="en-AU"/>
        </w:rPr>
        <w:t xml:space="preserve"> </w:t>
      </w:r>
      <w:r w:rsidR="000456D1">
        <w:rPr>
          <w:lang w:eastAsia="en-AU"/>
        </w:rPr>
        <w:t>whether Glencore sells</w:t>
      </w:r>
      <w:r w:rsidR="003D4DAD">
        <w:rPr>
          <w:lang w:eastAsia="en-AU"/>
        </w:rPr>
        <w:t xml:space="preserve"> under</w:t>
      </w:r>
      <w:r w:rsidR="000456D1">
        <w:rPr>
          <w:lang w:eastAsia="en-AU"/>
        </w:rPr>
        <w:t xml:space="preserve"> </w:t>
      </w:r>
      <w:r w:rsidR="00B22308">
        <w:rPr>
          <w:lang w:eastAsia="en-AU"/>
        </w:rPr>
        <w:t>“free on board” (</w:t>
      </w:r>
      <w:r w:rsidR="000456D1" w:rsidRPr="00A412B6">
        <w:rPr>
          <w:b/>
          <w:lang w:eastAsia="en-AU"/>
        </w:rPr>
        <w:t>FOB</w:t>
      </w:r>
      <w:r w:rsidR="00B22308">
        <w:rPr>
          <w:lang w:eastAsia="en-AU"/>
        </w:rPr>
        <w:t>)</w:t>
      </w:r>
      <w:r w:rsidR="000456D1">
        <w:rPr>
          <w:lang w:eastAsia="en-AU"/>
        </w:rPr>
        <w:t xml:space="preserve"> or </w:t>
      </w:r>
      <w:r w:rsidR="00B22308">
        <w:rPr>
          <w:lang w:eastAsia="en-AU"/>
        </w:rPr>
        <w:t>“cost, insurance and freight” (</w:t>
      </w:r>
      <w:r w:rsidR="000456D1" w:rsidRPr="00A412B6">
        <w:rPr>
          <w:b/>
          <w:lang w:eastAsia="en-AU"/>
        </w:rPr>
        <w:t>CIF</w:t>
      </w:r>
      <w:r w:rsidR="00B22308">
        <w:rPr>
          <w:lang w:eastAsia="en-AU"/>
        </w:rPr>
        <w:t>)</w:t>
      </w:r>
      <w:r w:rsidR="003D4DAD">
        <w:rPr>
          <w:lang w:eastAsia="en-AU"/>
        </w:rPr>
        <w:t xml:space="preserve"> contracts</w:t>
      </w:r>
      <w:r w:rsidR="000456D1">
        <w:rPr>
          <w:lang w:eastAsia="en-AU"/>
        </w:rPr>
        <w:t xml:space="preserve">. As such, Glencore </w:t>
      </w:r>
      <w:r w:rsidR="00F568DD">
        <w:rPr>
          <w:lang w:eastAsia="en-AU"/>
        </w:rPr>
        <w:t>would have the right</w:t>
      </w:r>
      <w:r w:rsidR="000456D1">
        <w:rPr>
          <w:lang w:eastAsia="en-AU"/>
        </w:rPr>
        <w:t xml:space="preserve"> </w:t>
      </w:r>
      <w:r w:rsidR="00F568DD">
        <w:rPr>
          <w:lang w:eastAsia="en-AU"/>
        </w:rPr>
        <w:t xml:space="preserve">to </w:t>
      </w:r>
      <w:r w:rsidR="000456D1">
        <w:rPr>
          <w:lang w:eastAsia="en-AU"/>
        </w:rPr>
        <w:t>notify an access dispute, and seek arbitration, in respect of the navigation service charge to apply in respect of ships carrying the coal that it sells to overseas buyers either FOB or CIF. However, s 67 of the PMA Act</w:t>
      </w:r>
      <w:r w:rsidR="00F568DD">
        <w:rPr>
          <w:lang w:eastAsia="en-AU"/>
        </w:rPr>
        <w:t xml:space="preserve"> limits PNO’s ability to enter into an agreement with Glencore in respect of the navigation service charge when </w:t>
      </w:r>
      <w:r w:rsidR="000456D1" w:rsidRPr="000456D1">
        <w:rPr>
          <w:lang w:eastAsia="en-AU"/>
        </w:rPr>
        <w:t>Glencore sells FOB</w:t>
      </w:r>
      <w:r w:rsidR="00F568DD">
        <w:rPr>
          <w:lang w:eastAsia="en-AU"/>
        </w:rPr>
        <w:t>. In respect of FOB sales (where the coal buyer arranges shipping from the Port)</w:t>
      </w:r>
      <w:r w:rsidR="000456D1" w:rsidRPr="000456D1">
        <w:rPr>
          <w:lang w:eastAsia="en-AU"/>
        </w:rPr>
        <w:t xml:space="preserve">, Glencore can answer the description </w:t>
      </w:r>
      <w:r w:rsidR="00F568DD">
        <w:rPr>
          <w:lang w:eastAsia="en-AU"/>
        </w:rPr>
        <w:t xml:space="preserve">within s 67 </w:t>
      </w:r>
      <w:r w:rsidR="000456D1" w:rsidRPr="000456D1">
        <w:rPr>
          <w:lang w:eastAsia="en-AU"/>
        </w:rPr>
        <w:t xml:space="preserve">of a person who is liable to pay the </w:t>
      </w:r>
      <w:r w:rsidR="009242CC">
        <w:rPr>
          <w:lang w:eastAsia="en-AU"/>
        </w:rPr>
        <w:t>navigation service charge</w:t>
      </w:r>
      <w:r w:rsidR="000456D1" w:rsidRPr="000456D1">
        <w:rPr>
          <w:lang w:eastAsia="en-AU"/>
        </w:rPr>
        <w:t xml:space="preserve"> only by acting to bring itself within the extended meaning of </w:t>
      </w:r>
      <w:r w:rsidR="00D90E2D">
        <w:rPr>
          <w:lang w:eastAsia="en-AU"/>
        </w:rPr>
        <w:t>“</w:t>
      </w:r>
      <w:r w:rsidR="000456D1" w:rsidRPr="000456D1">
        <w:rPr>
          <w:lang w:eastAsia="en-AU"/>
        </w:rPr>
        <w:t>owner</w:t>
      </w:r>
      <w:r w:rsidR="00D90E2D">
        <w:rPr>
          <w:lang w:eastAsia="en-AU"/>
        </w:rPr>
        <w:t>”</w:t>
      </w:r>
      <w:r w:rsidR="000456D1" w:rsidRPr="000456D1">
        <w:rPr>
          <w:lang w:eastAsia="en-AU"/>
        </w:rPr>
        <w:t xml:space="preserve"> of a vessel in s 48(4)(b) of the PMA Act so as to accept the obligation to pay the </w:t>
      </w:r>
      <w:r w:rsidR="009242CC">
        <w:rPr>
          <w:lang w:eastAsia="en-AU"/>
        </w:rPr>
        <w:t>navigation service charge</w:t>
      </w:r>
      <w:r w:rsidR="00F568DD">
        <w:rPr>
          <w:lang w:eastAsia="en-AU"/>
        </w:rPr>
        <w:t>.</w:t>
      </w:r>
      <w:r w:rsidR="000456D1">
        <w:rPr>
          <w:lang w:eastAsia="en-AU"/>
        </w:rPr>
        <w:t xml:space="preserve"> </w:t>
      </w:r>
    </w:p>
    <w:p w:rsidR="00F568DD" w:rsidRDefault="00867D0B" w:rsidP="00867D0B">
      <w:pPr>
        <w:pStyle w:val="ParaNumbering"/>
        <w:numPr>
          <w:ilvl w:val="0"/>
          <w:numId w:val="0"/>
        </w:numPr>
        <w:tabs>
          <w:tab w:val="left" w:pos="720"/>
        </w:tabs>
        <w:ind w:hanging="720"/>
        <w:rPr>
          <w:lang w:eastAsia="en-AU"/>
        </w:rPr>
      </w:pPr>
      <w:r>
        <w:rPr>
          <w:sz w:val="20"/>
          <w:lang w:eastAsia="en-AU"/>
        </w:rPr>
        <w:t>25</w:t>
      </w:r>
      <w:r>
        <w:rPr>
          <w:sz w:val="20"/>
          <w:lang w:eastAsia="en-AU"/>
        </w:rPr>
        <w:tab/>
      </w:r>
      <w:r w:rsidR="00F568DD">
        <w:rPr>
          <w:lang w:eastAsia="en-AU"/>
        </w:rPr>
        <w:t>In light of the High Court’s conclusion concerning the scope of the determination, PNO proposed that the Tribunal make no change to the ACCC’s arbitral determination</w:t>
      </w:r>
      <w:r w:rsidR="004F56A7">
        <w:rPr>
          <w:lang w:eastAsia="en-AU"/>
        </w:rPr>
        <w:t xml:space="preserve"> on this issue</w:t>
      </w:r>
      <w:r w:rsidR="00F568DD">
        <w:rPr>
          <w:lang w:eastAsia="en-AU"/>
        </w:rPr>
        <w:t xml:space="preserve">. It will be recalled that the ACCC determined that the </w:t>
      </w:r>
      <w:r w:rsidR="009242CC">
        <w:rPr>
          <w:lang w:eastAsia="en-AU"/>
        </w:rPr>
        <w:t>navigation service charge</w:t>
      </w:r>
      <w:r w:rsidR="00F568DD">
        <w:rPr>
          <w:lang w:eastAsia="en-AU"/>
        </w:rPr>
        <w:t xml:space="preserve"> would apply in respect of vessels using the shipping channel service in two circumstances:</w:t>
      </w:r>
    </w:p>
    <w:p w:rsidR="004F56A7" w:rsidRDefault="00867D0B" w:rsidP="00867D0B">
      <w:pPr>
        <w:pStyle w:val="ListNo1alt"/>
        <w:numPr>
          <w:ilvl w:val="0"/>
          <w:numId w:val="0"/>
        </w:numPr>
        <w:tabs>
          <w:tab w:val="left" w:pos="720"/>
        </w:tabs>
        <w:ind w:left="720" w:hanging="720"/>
        <w:rPr>
          <w:lang w:eastAsia="en-AU"/>
        </w:rPr>
      </w:pPr>
      <w:r>
        <w:rPr>
          <w:lang w:eastAsia="en-AU"/>
        </w:rPr>
        <w:t>(a)</w:t>
      </w:r>
      <w:r>
        <w:rPr>
          <w:lang w:eastAsia="en-AU"/>
        </w:rPr>
        <w:tab/>
      </w:r>
      <w:r w:rsidR="00F568DD">
        <w:rPr>
          <w:lang w:eastAsia="en-AU"/>
        </w:rPr>
        <w:t>where Glencore, either directly or by agent, charters a vessel to enter the Port precinct and load Glencore coal; and</w:t>
      </w:r>
    </w:p>
    <w:p w:rsidR="00F568DD" w:rsidRDefault="00867D0B" w:rsidP="00867D0B">
      <w:pPr>
        <w:pStyle w:val="ListNo1alt"/>
        <w:numPr>
          <w:ilvl w:val="0"/>
          <w:numId w:val="0"/>
        </w:numPr>
        <w:tabs>
          <w:tab w:val="left" w:pos="720"/>
        </w:tabs>
        <w:ind w:left="720" w:hanging="720"/>
        <w:rPr>
          <w:lang w:eastAsia="en-AU"/>
        </w:rPr>
      </w:pPr>
      <w:r>
        <w:rPr>
          <w:lang w:eastAsia="en-AU"/>
        </w:rPr>
        <w:t>(b)</w:t>
      </w:r>
      <w:r>
        <w:rPr>
          <w:lang w:eastAsia="en-AU"/>
        </w:rPr>
        <w:tab/>
      </w:r>
      <w:r w:rsidR="00F568DD">
        <w:rPr>
          <w:lang w:eastAsia="en-AU"/>
        </w:rPr>
        <w:t>where Glencore makes a representation to PNO of the kind referred to in s</w:t>
      </w:r>
      <w:r w:rsidR="00125E64">
        <w:rPr>
          <w:lang w:eastAsia="en-AU"/>
        </w:rPr>
        <w:t> </w:t>
      </w:r>
      <w:r w:rsidR="00F568DD">
        <w:rPr>
          <w:lang w:eastAsia="en-AU"/>
        </w:rPr>
        <w:t xml:space="preserve">48(4)(b) of the </w:t>
      </w:r>
      <w:r w:rsidR="00F568DD" w:rsidRPr="00A412B6">
        <w:rPr>
          <w:lang w:eastAsia="en-AU"/>
        </w:rPr>
        <w:t>PMA Act</w:t>
      </w:r>
      <w:r w:rsidR="00F568DD" w:rsidRPr="00D90E2D">
        <w:rPr>
          <w:lang w:eastAsia="en-AU"/>
        </w:rPr>
        <w:t xml:space="preserve"> </w:t>
      </w:r>
      <w:r w:rsidR="00F568DD">
        <w:rPr>
          <w:lang w:eastAsia="en-AU"/>
        </w:rPr>
        <w:t>that it has the functions of the owner of a vessel, or accepts the obligation to exercise those functions, in order to enter the Port precinct and load Glencore coal.</w:t>
      </w:r>
    </w:p>
    <w:p w:rsidR="004F56A7" w:rsidRDefault="00867D0B" w:rsidP="00867D0B">
      <w:pPr>
        <w:pStyle w:val="ParaNumbering"/>
        <w:numPr>
          <w:ilvl w:val="0"/>
          <w:numId w:val="0"/>
        </w:numPr>
        <w:ind w:hanging="720"/>
        <w:rPr>
          <w:lang w:eastAsia="en-AU"/>
        </w:rPr>
      </w:pPr>
      <w:r>
        <w:rPr>
          <w:sz w:val="20"/>
          <w:lang w:eastAsia="en-AU"/>
        </w:rPr>
        <w:t>26</w:t>
      </w:r>
      <w:r>
        <w:rPr>
          <w:sz w:val="20"/>
          <w:lang w:eastAsia="en-AU"/>
        </w:rPr>
        <w:tab/>
      </w:r>
      <w:r w:rsidR="004F56A7">
        <w:rPr>
          <w:lang w:eastAsia="en-AU"/>
        </w:rPr>
        <w:t>The Tribunal agrees that the ACCC’s arbitral determination on this issue is consistent with the High Court’s ruling.</w:t>
      </w:r>
    </w:p>
    <w:p w:rsidR="004F56A7" w:rsidRDefault="004F56A7" w:rsidP="004F56A7">
      <w:pPr>
        <w:pStyle w:val="Heading3"/>
        <w:rPr>
          <w:lang w:eastAsia="en-AU"/>
        </w:rPr>
      </w:pPr>
      <w:r>
        <w:rPr>
          <w:lang w:eastAsia="en-AU"/>
        </w:rPr>
        <w:t>Other amendments sought by PNO</w:t>
      </w:r>
    </w:p>
    <w:p w:rsidR="004F56A7" w:rsidRDefault="00867D0B" w:rsidP="00867D0B">
      <w:pPr>
        <w:pStyle w:val="ParaNumbering"/>
        <w:numPr>
          <w:ilvl w:val="0"/>
          <w:numId w:val="0"/>
        </w:numPr>
        <w:ind w:hanging="720"/>
        <w:rPr>
          <w:lang w:eastAsia="en-AU"/>
        </w:rPr>
      </w:pPr>
      <w:r>
        <w:rPr>
          <w:sz w:val="20"/>
          <w:lang w:eastAsia="en-AU"/>
        </w:rPr>
        <w:t>27</w:t>
      </w:r>
      <w:r>
        <w:rPr>
          <w:sz w:val="20"/>
          <w:lang w:eastAsia="en-AU"/>
        </w:rPr>
        <w:tab/>
      </w:r>
      <w:r w:rsidR="004F56A7">
        <w:rPr>
          <w:lang w:eastAsia="en-AU"/>
        </w:rPr>
        <w:t xml:space="preserve">PNO seeks </w:t>
      </w:r>
      <w:r w:rsidR="005B69F5">
        <w:rPr>
          <w:lang w:eastAsia="en-AU"/>
        </w:rPr>
        <w:t>additional</w:t>
      </w:r>
      <w:r w:rsidR="004F56A7">
        <w:rPr>
          <w:lang w:eastAsia="en-AU"/>
        </w:rPr>
        <w:t xml:space="preserve"> amendments to the wording of the ACCC’s arbitral determination </w:t>
      </w:r>
      <w:r w:rsidR="005B69F5">
        <w:rPr>
          <w:lang w:eastAsia="en-AU"/>
        </w:rPr>
        <w:t xml:space="preserve">with the expressed aim of </w:t>
      </w:r>
      <w:r w:rsidR="00125E64">
        <w:rPr>
          <w:lang w:eastAsia="en-AU"/>
        </w:rPr>
        <w:t>giving</w:t>
      </w:r>
      <w:r w:rsidR="004F56A7">
        <w:rPr>
          <w:lang w:eastAsia="en-AU"/>
        </w:rPr>
        <w:t xml:space="preserve"> it workable effect</w:t>
      </w:r>
      <w:r w:rsidR="005B69F5">
        <w:rPr>
          <w:lang w:eastAsia="en-AU"/>
        </w:rPr>
        <w:t xml:space="preserve"> in light of the Tribunal’s determination and also </w:t>
      </w:r>
      <w:r w:rsidR="004F56A7">
        <w:rPr>
          <w:lang w:eastAsia="en-AU"/>
        </w:rPr>
        <w:t>the effluxion of time.</w:t>
      </w:r>
      <w:r w:rsidR="005B69F5">
        <w:rPr>
          <w:lang w:eastAsia="en-AU"/>
        </w:rPr>
        <w:t xml:space="preserve"> </w:t>
      </w:r>
      <w:r w:rsidR="003F7D55">
        <w:rPr>
          <w:lang w:eastAsia="en-AU"/>
        </w:rPr>
        <w:t xml:space="preserve">The original determination was stated to apply from 8 July 2018, with the parties to account for differences in charges (plus interest) in the interim period until the determination comes into effect. That will now be a period of more than three and a half years. </w:t>
      </w:r>
      <w:r w:rsidR="000D4245">
        <w:rPr>
          <w:lang w:eastAsia="en-AU"/>
        </w:rPr>
        <w:t>T</w:t>
      </w:r>
      <w:r w:rsidR="005639BB">
        <w:rPr>
          <w:lang w:eastAsia="en-AU"/>
        </w:rPr>
        <w:t>he</w:t>
      </w:r>
      <w:r w:rsidR="005B69F5">
        <w:rPr>
          <w:lang w:eastAsia="en-AU"/>
        </w:rPr>
        <w:t xml:space="preserve"> additional</w:t>
      </w:r>
      <w:r w:rsidR="005639BB">
        <w:rPr>
          <w:lang w:eastAsia="en-AU"/>
        </w:rPr>
        <w:t xml:space="preserve"> amendments proposed by PNO were not opposed by Glen</w:t>
      </w:r>
      <w:r w:rsidR="000D4245">
        <w:rPr>
          <w:lang w:eastAsia="en-AU"/>
        </w:rPr>
        <w:t xml:space="preserve">core. </w:t>
      </w:r>
      <w:r w:rsidR="004F56A7">
        <w:rPr>
          <w:lang w:eastAsia="en-AU"/>
        </w:rPr>
        <w:t>A brief description of the amendments sought by PNO follows.</w:t>
      </w:r>
    </w:p>
    <w:p w:rsidR="004F56A7" w:rsidRDefault="004F56A7" w:rsidP="004F56A7">
      <w:pPr>
        <w:pStyle w:val="Heading4"/>
        <w:rPr>
          <w:lang w:eastAsia="en-AU"/>
        </w:rPr>
      </w:pPr>
      <w:r>
        <w:rPr>
          <w:lang w:eastAsia="en-AU"/>
        </w:rPr>
        <w:t>Clause 1.4</w:t>
      </w:r>
    </w:p>
    <w:p w:rsidR="004F56A7" w:rsidRDefault="00867D0B" w:rsidP="00867D0B">
      <w:pPr>
        <w:pStyle w:val="ParaNumbering"/>
        <w:numPr>
          <w:ilvl w:val="0"/>
          <w:numId w:val="0"/>
        </w:numPr>
        <w:ind w:hanging="720"/>
        <w:rPr>
          <w:lang w:eastAsia="en-AU"/>
        </w:rPr>
      </w:pPr>
      <w:r>
        <w:rPr>
          <w:sz w:val="20"/>
          <w:lang w:eastAsia="en-AU"/>
        </w:rPr>
        <w:t>28</w:t>
      </w:r>
      <w:r>
        <w:rPr>
          <w:sz w:val="20"/>
          <w:lang w:eastAsia="en-AU"/>
        </w:rPr>
        <w:tab/>
      </w:r>
      <w:r w:rsidR="004F56A7">
        <w:rPr>
          <w:lang w:eastAsia="en-AU"/>
        </w:rPr>
        <w:t xml:space="preserve">Clause 1.4 </w:t>
      </w:r>
      <w:r w:rsidR="000D4245">
        <w:rPr>
          <w:lang w:eastAsia="en-AU"/>
        </w:rPr>
        <w:t xml:space="preserve">of the ACCC’s arbitral determination </w:t>
      </w:r>
      <w:r w:rsidR="004F56A7">
        <w:rPr>
          <w:lang w:eastAsia="en-AU"/>
        </w:rPr>
        <w:t xml:space="preserve">provides for the payment of interest on any backdated payment. As </w:t>
      </w:r>
      <w:r w:rsidR="000D4245">
        <w:rPr>
          <w:lang w:eastAsia="en-AU"/>
        </w:rPr>
        <w:t xml:space="preserve">originally </w:t>
      </w:r>
      <w:r w:rsidR="004F56A7">
        <w:rPr>
          <w:lang w:eastAsia="en-AU"/>
        </w:rPr>
        <w:t xml:space="preserve">drafted, the clause </w:t>
      </w:r>
      <w:r w:rsidR="000D4245">
        <w:rPr>
          <w:lang w:eastAsia="en-AU"/>
        </w:rPr>
        <w:t xml:space="preserve">was confined </w:t>
      </w:r>
      <w:r w:rsidR="004F56A7">
        <w:rPr>
          <w:lang w:eastAsia="en-AU"/>
        </w:rPr>
        <w:t>to the payment of interest in respect of any overpayment to PNO by Glencore</w:t>
      </w:r>
      <w:r w:rsidR="000D4245">
        <w:rPr>
          <w:lang w:eastAsia="en-AU"/>
        </w:rPr>
        <w:t xml:space="preserve">. It did not apply in the case </w:t>
      </w:r>
      <w:r w:rsidR="004F56A7">
        <w:rPr>
          <w:lang w:eastAsia="en-AU"/>
        </w:rPr>
        <w:t>of any underpayment to PNO</w:t>
      </w:r>
      <w:r w:rsidR="003F7D55">
        <w:rPr>
          <w:lang w:eastAsia="en-AU"/>
        </w:rPr>
        <w:t xml:space="preserve">. No doubt this reflected the fact that, at the time of the ACCC determination, the navigation service charge determined by the ACCC was lower than the amount charged by PNO. Under the Tribunal’s determination, the opposite is the case. </w:t>
      </w:r>
      <w:r w:rsidR="004F56A7">
        <w:rPr>
          <w:lang w:eastAsia="en-AU"/>
        </w:rPr>
        <w:t>PNO seeks the addition of the words “or underpaid”, so that the clause refers to “any</w:t>
      </w:r>
      <w:r w:rsidR="00810528">
        <w:rPr>
          <w:lang w:eastAsia="en-AU"/>
        </w:rPr>
        <w:t xml:space="preserve"> amount overpaid or underpaid”.</w:t>
      </w:r>
    </w:p>
    <w:p w:rsidR="004F56A7" w:rsidRDefault="004F56A7" w:rsidP="003F7D55">
      <w:pPr>
        <w:pStyle w:val="Heading4"/>
        <w:rPr>
          <w:lang w:eastAsia="en-AU"/>
        </w:rPr>
      </w:pPr>
      <w:r>
        <w:rPr>
          <w:lang w:eastAsia="en-AU"/>
        </w:rPr>
        <w:t>Clause 3.2</w:t>
      </w:r>
    </w:p>
    <w:p w:rsidR="004F56A7" w:rsidRDefault="00867D0B" w:rsidP="00867D0B">
      <w:pPr>
        <w:pStyle w:val="ParaNumbering"/>
        <w:numPr>
          <w:ilvl w:val="0"/>
          <w:numId w:val="0"/>
        </w:numPr>
        <w:ind w:hanging="720"/>
        <w:rPr>
          <w:lang w:eastAsia="en-AU"/>
        </w:rPr>
      </w:pPr>
      <w:r>
        <w:rPr>
          <w:sz w:val="20"/>
          <w:lang w:eastAsia="en-AU"/>
        </w:rPr>
        <w:t>29</w:t>
      </w:r>
      <w:r>
        <w:rPr>
          <w:sz w:val="20"/>
          <w:lang w:eastAsia="en-AU"/>
        </w:rPr>
        <w:tab/>
      </w:r>
      <w:r w:rsidR="004F56A7">
        <w:rPr>
          <w:lang w:eastAsia="en-AU"/>
        </w:rPr>
        <w:t xml:space="preserve">In order to calculate the </w:t>
      </w:r>
      <w:r w:rsidR="003F7D55">
        <w:rPr>
          <w:lang w:eastAsia="en-AU"/>
        </w:rPr>
        <w:t>navigation service charge</w:t>
      </w:r>
      <w:r w:rsidR="004F56A7">
        <w:rPr>
          <w:lang w:eastAsia="en-AU"/>
        </w:rPr>
        <w:t xml:space="preserve"> payable during the period of backdating, and in order to perform the </w:t>
      </w:r>
      <w:r w:rsidR="003F7D55">
        <w:rPr>
          <w:lang w:eastAsia="en-AU"/>
        </w:rPr>
        <w:t>“</w:t>
      </w:r>
      <w:r w:rsidR="004F56A7">
        <w:rPr>
          <w:lang w:eastAsia="en-AU"/>
        </w:rPr>
        <w:t>true-up</w:t>
      </w:r>
      <w:r w:rsidR="003F7D55">
        <w:rPr>
          <w:lang w:eastAsia="en-AU"/>
        </w:rPr>
        <w:t>”</w:t>
      </w:r>
      <w:r w:rsidR="004F56A7">
        <w:rPr>
          <w:lang w:eastAsia="en-AU"/>
        </w:rPr>
        <w:t xml:space="preserve"> provided for by cl 9, PNO </w:t>
      </w:r>
      <w:r w:rsidR="003F7D55">
        <w:rPr>
          <w:lang w:eastAsia="en-AU"/>
        </w:rPr>
        <w:t>requires</w:t>
      </w:r>
      <w:r w:rsidR="004F56A7">
        <w:rPr>
          <w:lang w:eastAsia="en-AU"/>
        </w:rPr>
        <w:t xml:space="preserve"> certain information, including which Glencore vessels fell within the scope of the determination (as set out in cl 2.1), and their gross tonnages. As presently drafted, the </w:t>
      </w:r>
      <w:r w:rsidR="00810528">
        <w:rPr>
          <w:lang w:eastAsia="en-AU"/>
        </w:rPr>
        <w:t xml:space="preserve">ACCC </w:t>
      </w:r>
      <w:r w:rsidR="004F56A7">
        <w:rPr>
          <w:lang w:eastAsia="en-AU"/>
        </w:rPr>
        <w:t>determination does not contain any mechanism for Glencore to provide this information to PNO. Clause 3.2 addresses this gap in the determination. It require</w:t>
      </w:r>
      <w:r w:rsidR="00810528">
        <w:rPr>
          <w:lang w:eastAsia="en-AU"/>
        </w:rPr>
        <w:t>s</w:t>
      </w:r>
      <w:r w:rsidR="004F56A7">
        <w:rPr>
          <w:lang w:eastAsia="en-AU"/>
        </w:rPr>
        <w:t xml:space="preserve"> Glencore to identify the vessels covered by the determination in the period 8 July 2016 to the date of the determination</w:t>
      </w:r>
      <w:r w:rsidR="00810528">
        <w:rPr>
          <w:lang w:eastAsia="en-AU"/>
        </w:rPr>
        <w:t xml:space="preserve"> and to provide information that </w:t>
      </w:r>
      <w:r w:rsidR="004F56A7">
        <w:rPr>
          <w:lang w:eastAsia="en-AU"/>
        </w:rPr>
        <w:t>will enable PNO to ascertain and verify the gross tonnage of each vessel covered by the determination.</w:t>
      </w:r>
    </w:p>
    <w:p w:rsidR="004F56A7" w:rsidRDefault="004F56A7" w:rsidP="00810528">
      <w:pPr>
        <w:pStyle w:val="Heading4"/>
        <w:rPr>
          <w:lang w:eastAsia="en-AU"/>
        </w:rPr>
      </w:pPr>
      <w:r>
        <w:rPr>
          <w:lang w:eastAsia="en-AU"/>
        </w:rPr>
        <w:t>Clause 8</w:t>
      </w:r>
    </w:p>
    <w:p w:rsidR="004F56A7" w:rsidRDefault="00867D0B" w:rsidP="00867D0B">
      <w:pPr>
        <w:pStyle w:val="ParaNumbering"/>
        <w:numPr>
          <w:ilvl w:val="0"/>
          <w:numId w:val="0"/>
        </w:numPr>
        <w:ind w:hanging="720"/>
        <w:rPr>
          <w:lang w:eastAsia="en-AU"/>
        </w:rPr>
      </w:pPr>
      <w:r>
        <w:rPr>
          <w:sz w:val="20"/>
          <w:lang w:eastAsia="en-AU"/>
        </w:rPr>
        <w:t>30</w:t>
      </w:r>
      <w:r>
        <w:rPr>
          <w:sz w:val="20"/>
          <w:lang w:eastAsia="en-AU"/>
        </w:rPr>
        <w:tab/>
      </w:r>
      <w:r w:rsidR="004F56A7">
        <w:rPr>
          <w:lang w:eastAsia="en-AU"/>
        </w:rPr>
        <w:t xml:space="preserve">Clause 8 provides for a five-yearly review of the </w:t>
      </w:r>
      <w:r w:rsidR="00810528">
        <w:rPr>
          <w:lang w:eastAsia="en-AU"/>
        </w:rPr>
        <w:t>navigation service charge</w:t>
      </w:r>
      <w:r w:rsidR="004F56A7">
        <w:rPr>
          <w:lang w:eastAsia="en-AU"/>
        </w:rPr>
        <w:t>. As originally drafted, the first review was required to take place in 2021. This was not possible</w:t>
      </w:r>
      <w:r w:rsidR="00810528">
        <w:rPr>
          <w:lang w:eastAsia="en-AU"/>
        </w:rPr>
        <w:t>, as the determination had not come into effect by 2021 (</w:t>
      </w:r>
      <w:r w:rsidR="004F56A7">
        <w:rPr>
          <w:lang w:eastAsia="en-AU"/>
        </w:rPr>
        <w:t>due to the parties’ subsequent applications and appeals to the Tribunal, Federal Court and High Court</w:t>
      </w:r>
      <w:r w:rsidR="00810528">
        <w:rPr>
          <w:lang w:eastAsia="en-AU"/>
        </w:rPr>
        <w:t>)</w:t>
      </w:r>
      <w:r w:rsidR="004F56A7">
        <w:rPr>
          <w:lang w:eastAsia="en-AU"/>
        </w:rPr>
        <w:t xml:space="preserve">. </w:t>
      </w:r>
      <w:r w:rsidR="00810528">
        <w:rPr>
          <w:lang w:eastAsia="en-AU"/>
        </w:rPr>
        <w:t>The</w:t>
      </w:r>
      <w:r w:rsidR="004F56A7">
        <w:rPr>
          <w:lang w:eastAsia="en-AU"/>
        </w:rPr>
        <w:t xml:space="preserve"> amendment provides that the review is to take place in 2022 with (backdated) effect from 1 January 2022 but using information from 2021 as was originally intended.</w:t>
      </w:r>
    </w:p>
    <w:p w:rsidR="004F56A7" w:rsidRDefault="004F56A7" w:rsidP="00810528">
      <w:pPr>
        <w:pStyle w:val="Heading4"/>
        <w:rPr>
          <w:lang w:eastAsia="en-AU"/>
        </w:rPr>
      </w:pPr>
      <w:r>
        <w:rPr>
          <w:lang w:eastAsia="en-AU"/>
        </w:rPr>
        <w:t>Clause 9</w:t>
      </w:r>
    </w:p>
    <w:p w:rsidR="004F56A7" w:rsidRDefault="00867D0B" w:rsidP="00867D0B">
      <w:pPr>
        <w:pStyle w:val="ParaNumbering"/>
        <w:numPr>
          <w:ilvl w:val="0"/>
          <w:numId w:val="0"/>
        </w:numPr>
        <w:ind w:hanging="720"/>
        <w:rPr>
          <w:lang w:eastAsia="en-AU"/>
        </w:rPr>
      </w:pPr>
      <w:r>
        <w:rPr>
          <w:sz w:val="20"/>
          <w:lang w:eastAsia="en-AU"/>
        </w:rPr>
        <w:t>31</w:t>
      </w:r>
      <w:r>
        <w:rPr>
          <w:sz w:val="20"/>
          <w:lang w:eastAsia="en-AU"/>
        </w:rPr>
        <w:tab/>
      </w:r>
      <w:r w:rsidR="004F56A7">
        <w:rPr>
          <w:lang w:eastAsia="en-AU"/>
        </w:rPr>
        <w:t xml:space="preserve">Clause 9 provides for an annual </w:t>
      </w:r>
      <w:r w:rsidR="00810528">
        <w:rPr>
          <w:lang w:eastAsia="en-AU"/>
        </w:rPr>
        <w:t>“</w:t>
      </w:r>
      <w:r w:rsidR="004F56A7">
        <w:rPr>
          <w:lang w:eastAsia="en-AU"/>
        </w:rPr>
        <w:t>true-up</w:t>
      </w:r>
      <w:r w:rsidR="00810528">
        <w:rPr>
          <w:lang w:eastAsia="en-AU"/>
        </w:rPr>
        <w:t>”</w:t>
      </w:r>
      <w:r w:rsidR="004F56A7">
        <w:rPr>
          <w:lang w:eastAsia="en-AU"/>
        </w:rPr>
        <w:t xml:space="preserve"> of the </w:t>
      </w:r>
      <w:r w:rsidR="00810528">
        <w:rPr>
          <w:lang w:eastAsia="en-AU"/>
        </w:rPr>
        <w:t>navigation service charge</w:t>
      </w:r>
      <w:r w:rsidR="004F56A7">
        <w:rPr>
          <w:lang w:eastAsia="en-AU"/>
        </w:rPr>
        <w:t xml:space="preserve">. This provision is necessary because both the initial </w:t>
      </w:r>
      <w:r w:rsidR="00810528">
        <w:rPr>
          <w:lang w:eastAsia="en-AU"/>
        </w:rPr>
        <w:t>navigation service charge</w:t>
      </w:r>
      <w:r w:rsidR="004F56A7">
        <w:rPr>
          <w:lang w:eastAsia="en-AU"/>
        </w:rPr>
        <w:t xml:space="preserve"> determined by the ACCC, and subsequent annual revisions (cl 7) are calculated using forecast, rather than actual, cargo volumes. Under the building block model used by the ACCC, the maximum allowable revenue (</w:t>
      </w:r>
      <w:r w:rsidR="004F56A7" w:rsidRPr="00810528">
        <w:rPr>
          <w:b/>
          <w:lang w:eastAsia="en-AU"/>
        </w:rPr>
        <w:t>MAR</w:t>
      </w:r>
      <w:r w:rsidR="004F56A7">
        <w:rPr>
          <w:lang w:eastAsia="en-AU"/>
        </w:rPr>
        <w:t xml:space="preserve">) is recoverable by PNO through the </w:t>
      </w:r>
      <w:r w:rsidR="00810528">
        <w:rPr>
          <w:lang w:eastAsia="en-AU"/>
        </w:rPr>
        <w:t>navigation service charge</w:t>
      </w:r>
      <w:r w:rsidR="004F56A7">
        <w:rPr>
          <w:lang w:eastAsia="en-AU"/>
        </w:rPr>
        <w:t xml:space="preserve"> and the wharfage charge. To calculate the </w:t>
      </w:r>
      <w:r w:rsidR="00810528">
        <w:rPr>
          <w:lang w:eastAsia="en-AU"/>
        </w:rPr>
        <w:t>navigation service charge</w:t>
      </w:r>
      <w:r w:rsidR="004F56A7">
        <w:rPr>
          <w:lang w:eastAsia="en-AU"/>
        </w:rPr>
        <w:t xml:space="preserve"> (charged per vessel gross tonne), the proportion of MAR allocated to the </w:t>
      </w:r>
      <w:r w:rsidR="00810528">
        <w:rPr>
          <w:lang w:eastAsia="en-AU"/>
        </w:rPr>
        <w:t>navigation service charge</w:t>
      </w:r>
      <w:r w:rsidR="004F56A7">
        <w:rPr>
          <w:lang w:eastAsia="en-AU"/>
        </w:rPr>
        <w:t xml:space="preserve"> was divided by the forecast cargo volume for the Port. This generated the initial figure of $1.0058 (as at 1 January 2018). Clause 7 provides for these forecasts to be reviewed annually. Clause 9 provides for the </w:t>
      </w:r>
      <w:r w:rsidR="00810528">
        <w:rPr>
          <w:lang w:eastAsia="en-AU"/>
        </w:rPr>
        <w:t>navigation service charge</w:t>
      </w:r>
      <w:r w:rsidR="004F56A7">
        <w:rPr>
          <w:lang w:eastAsia="en-AU"/>
        </w:rPr>
        <w:t xml:space="preserve"> to be recalculated at the end of each year based on actual volumes, and also provides for a reconciliation of that figure (described in the determination as the Notional </w:t>
      </w:r>
      <w:r w:rsidR="00D90E2D">
        <w:rPr>
          <w:lang w:eastAsia="en-AU"/>
        </w:rPr>
        <w:t>NSC</w:t>
      </w:r>
      <w:r w:rsidR="004F56A7">
        <w:rPr>
          <w:lang w:eastAsia="en-AU"/>
        </w:rPr>
        <w:t xml:space="preserve">) against the </w:t>
      </w:r>
      <w:r w:rsidR="00810528">
        <w:rPr>
          <w:lang w:eastAsia="en-AU"/>
        </w:rPr>
        <w:t>navigation service charge</w:t>
      </w:r>
      <w:r w:rsidR="004F56A7">
        <w:rPr>
          <w:lang w:eastAsia="en-AU"/>
        </w:rPr>
        <w:t xml:space="preserve"> actually paid by Glencore (described as the Glencore Paid </w:t>
      </w:r>
      <w:r w:rsidR="00D90E2D">
        <w:rPr>
          <w:lang w:eastAsia="en-AU"/>
        </w:rPr>
        <w:t>NSC</w:t>
      </w:r>
      <w:r w:rsidR="004F56A7">
        <w:rPr>
          <w:lang w:eastAsia="en-AU"/>
        </w:rPr>
        <w:t>).</w:t>
      </w:r>
    </w:p>
    <w:p w:rsidR="004F56A7" w:rsidRDefault="00867D0B" w:rsidP="00867D0B">
      <w:pPr>
        <w:pStyle w:val="ParaNumbering"/>
        <w:numPr>
          <w:ilvl w:val="0"/>
          <w:numId w:val="0"/>
        </w:numPr>
        <w:ind w:hanging="720"/>
        <w:rPr>
          <w:lang w:eastAsia="en-AU"/>
        </w:rPr>
      </w:pPr>
      <w:r>
        <w:rPr>
          <w:sz w:val="20"/>
          <w:lang w:eastAsia="en-AU"/>
        </w:rPr>
        <w:t>32</w:t>
      </w:r>
      <w:r>
        <w:rPr>
          <w:sz w:val="20"/>
          <w:lang w:eastAsia="en-AU"/>
        </w:rPr>
        <w:tab/>
      </w:r>
      <w:r w:rsidR="004F56A7">
        <w:rPr>
          <w:lang w:eastAsia="en-AU"/>
        </w:rPr>
        <w:t>As a result of the delay in the making of the final determination, the annual true-up process is yet to occur. This clause therefore requires some minor adjustment. First, in the chapeau of cl 9.2 there is a provision for the relevant calculation for the past period to occur within 60 days of the date of determination (rather than 60 days from the end of each year, where those years now lie in the past). Secondly, in cl 9.2(e) the reference to paid “under this determination” has been modified to “paid… for access within the scope of this determination”, because in circumstances where the determination was not operating for some time the previous language would not properly capture the nature of the calculation, being a calculation of the extent to which amounts liable to be paid have been paid.</w:t>
      </w:r>
    </w:p>
    <w:p w:rsidR="004F56A7" w:rsidRDefault="004F56A7" w:rsidP="00810528">
      <w:pPr>
        <w:pStyle w:val="Heading4"/>
        <w:rPr>
          <w:lang w:eastAsia="en-AU"/>
        </w:rPr>
      </w:pPr>
      <w:r>
        <w:rPr>
          <w:lang w:eastAsia="en-AU"/>
        </w:rPr>
        <w:t>Clause</w:t>
      </w:r>
      <w:r w:rsidR="00D90E2D">
        <w:rPr>
          <w:lang w:eastAsia="en-AU"/>
        </w:rPr>
        <w:t>s</w:t>
      </w:r>
      <w:r>
        <w:rPr>
          <w:lang w:eastAsia="en-AU"/>
        </w:rPr>
        <w:t xml:space="preserve"> 14 and 15</w:t>
      </w:r>
    </w:p>
    <w:p w:rsidR="004F56A7" w:rsidRDefault="00867D0B" w:rsidP="00867D0B">
      <w:pPr>
        <w:pStyle w:val="ParaNumbering"/>
        <w:numPr>
          <w:ilvl w:val="0"/>
          <w:numId w:val="0"/>
        </w:numPr>
        <w:ind w:hanging="720"/>
        <w:rPr>
          <w:lang w:eastAsia="en-AU"/>
        </w:rPr>
      </w:pPr>
      <w:r>
        <w:rPr>
          <w:sz w:val="20"/>
          <w:lang w:eastAsia="en-AU"/>
        </w:rPr>
        <w:t>33</w:t>
      </w:r>
      <w:r>
        <w:rPr>
          <w:sz w:val="20"/>
          <w:lang w:eastAsia="en-AU"/>
        </w:rPr>
        <w:tab/>
      </w:r>
      <w:r w:rsidR="004F56A7">
        <w:rPr>
          <w:lang w:eastAsia="en-AU"/>
        </w:rPr>
        <w:t>Finally, PNO proposes the correction of what appear to be two typographical errors, being the references to the “agreement” in cl 14.5 and cl 15 instead of the “determination”.</w:t>
      </w:r>
    </w:p>
    <w:p w:rsidR="00D90E2D" w:rsidRDefault="00D90E2D" w:rsidP="00A412B6">
      <w:pPr>
        <w:pStyle w:val="Heading4"/>
        <w:rPr>
          <w:lang w:eastAsia="en-AU"/>
        </w:rPr>
      </w:pPr>
      <w:r>
        <w:rPr>
          <w:lang w:eastAsia="en-AU"/>
        </w:rPr>
        <w:t>Conclusion regarding amendments sought by PNO</w:t>
      </w:r>
    </w:p>
    <w:p w:rsidR="00810528" w:rsidRDefault="00867D0B" w:rsidP="00867D0B">
      <w:pPr>
        <w:pStyle w:val="ParaNumbering"/>
        <w:numPr>
          <w:ilvl w:val="0"/>
          <w:numId w:val="0"/>
        </w:numPr>
        <w:ind w:hanging="720"/>
        <w:rPr>
          <w:lang w:eastAsia="en-AU"/>
        </w:rPr>
      </w:pPr>
      <w:r>
        <w:rPr>
          <w:sz w:val="20"/>
          <w:lang w:eastAsia="en-AU"/>
        </w:rPr>
        <w:t>34</w:t>
      </w:r>
      <w:r>
        <w:rPr>
          <w:sz w:val="20"/>
          <w:lang w:eastAsia="en-AU"/>
        </w:rPr>
        <w:tab/>
      </w:r>
      <w:r w:rsidR="00810528">
        <w:rPr>
          <w:lang w:eastAsia="en-AU"/>
        </w:rPr>
        <w:t xml:space="preserve">The Tribunal considers that each of the above amendments to the ACCC’s arbitral </w:t>
      </w:r>
      <w:r w:rsidR="00AB52D7">
        <w:rPr>
          <w:lang w:eastAsia="en-AU"/>
        </w:rPr>
        <w:t xml:space="preserve">determination </w:t>
      </w:r>
      <w:r w:rsidR="00810528">
        <w:rPr>
          <w:lang w:eastAsia="en-AU"/>
        </w:rPr>
        <w:t>is within the powers conferred on the ACCC by Div 3 of Pt IIIA and is appropriate to be made.</w:t>
      </w:r>
    </w:p>
    <w:p w:rsidR="004F56A7" w:rsidRDefault="00810528" w:rsidP="00810528">
      <w:pPr>
        <w:pStyle w:val="Heading2"/>
        <w:rPr>
          <w:lang w:eastAsia="en-AU"/>
        </w:rPr>
      </w:pPr>
      <w:r>
        <w:rPr>
          <w:lang w:eastAsia="en-AU"/>
        </w:rPr>
        <w:t>Conclusion</w:t>
      </w:r>
    </w:p>
    <w:p w:rsidR="00810528" w:rsidRDefault="00867D0B" w:rsidP="00867D0B">
      <w:pPr>
        <w:pStyle w:val="ParaNumbering"/>
        <w:numPr>
          <w:ilvl w:val="0"/>
          <w:numId w:val="0"/>
        </w:numPr>
        <w:ind w:hanging="720"/>
        <w:rPr>
          <w:lang w:eastAsia="en-AU"/>
        </w:rPr>
      </w:pPr>
      <w:r>
        <w:rPr>
          <w:sz w:val="20"/>
          <w:lang w:eastAsia="en-AU"/>
        </w:rPr>
        <w:t>35</w:t>
      </w:r>
      <w:r>
        <w:rPr>
          <w:sz w:val="20"/>
          <w:lang w:eastAsia="en-AU"/>
        </w:rPr>
        <w:tab/>
      </w:r>
      <w:r w:rsidR="00810528">
        <w:rPr>
          <w:lang w:eastAsia="en-AU"/>
        </w:rPr>
        <w:t>In conclusion, the Tribunal makes the determination in the form sought by PNO, which is not opposed by Glencore.</w:t>
      </w:r>
    </w:p>
    <w:tbl>
      <w:tblPr>
        <w:tblW w:w="0" w:type="auto"/>
        <w:tblLook w:val="04A0" w:firstRow="1" w:lastRow="0" w:firstColumn="1" w:lastColumn="0" w:noHBand="0" w:noVBand="1"/>
      </w:tblPr>
      <w:tblGrid>
        <w:gridCol w:w="3794"/>
      </w:tblGrid>
      <w:tr w:rsidR="00511E54" w:rsidRPr="00511E54">
        <w:tc>
          <w:tcPr>
            <w:tcW w:w="3794" w:type="dxa"/>
            <w:shd w:val="clear" w:color="auto" w:fill="auto"/>
          </w:tcPr>
          <w:p w:rsidR="00511E54" w:rsidRPr="00511E54" w:rsidRDefault="00511E54" w:rsidP="00D9696F">
            <w:pPr>
              <w:pStyle w:val="Normal1linespace"/>
            </w:pPr>
            <w:bookmarkStart w:id="14" w:name="Certification"/>
            <w:r w:rsidRPr="00511E54">
              <w:t xml:space="preserve">I certify that the preceding </w:t>
            </w:r>
            <w:bookmarkStart w:id="15" w:name="NumberWord"/>
            <w:r>
              <w:t>thirty-f</w:t>
            </w:r>
            <w:bookmarkEnd w:id="15"/>
            <w:r w:rsidR="00D9696F">
              <w:t>ive</w:t>
            </w:r>
            <w:r w:rsidRPr="00511E54">
              <w:t xml:space="preserve"> (</w:t>
            </w:r>
            <w:bookmarkStart w:id="16" w:name="NumberNumeral"/>
            <w:r>
              <w:t>3</w:t>
            </w:r>
            <w:bookmarkEnd w:id="16"/>
            <w:r w:rsidR="00D9696F">
              <w:t>5</w:t>
            </w:r>
            <w:r w:rsidRPr="00511E54">
              <w:t xml:space="preserve">) numbered </w:t>
            </w:r>
            <w:bookmarkStart w:id="17" w:name="CertPara"/>
            <w:r>
              <w:t>paragraphs are</w:t>
            </w:r>
            <w:bookmarkEnd w:id="17"/>
            <w:r w:rsidRPr="00511E54">
              <w:t xml:space="preserve"> a true copy of the Reasons for </w:t>
            </w:r>
            <w:r w:rsidR="00C34466">
              <w:t>Determination</w:t>
            </w:r>
            <w:r w:rsidRPr="00511E54">
              <w:t xml:space="preserve"> of </w:t>
            </w:r>
            <w:bookmarkStart w:id="18" w:name="bkHonourable"/>
            <w:r w:rsidRPr="00511E54">
              <w:t xml:space="preserve">the Honourable </w:t>
            </w:r>
            <w:bookmarkStart w:id="19" w:name="Justice"/>
            <w:bookmarkEnd w:id="18"/>
            <w:r>
              <w:t>Justice O'Bryan</w:t>
            </w:r>
            <w:bookmarkEnd w:id="19"/>
            <w:r w:rsidR="00C34466">
              <w:t>, Dr D Abraham and Prof K Davis.</w:t>
            </w:r>
          </w:p>
        </w:tc>
      </w:tr>
    </w:tbl>
    <w:p w:rsidR="00511E54" w:rsidRDefault="00511E54" w:rsidP="00815065">
      <w:pPr>
        <w:pStyle w:val="BodyText"/>
      </w:pPr>
    </w:p>
    <w:p w:rsidR="00511E54" w:rsidRDefault="00511E54" w:rsidP="00815065">
      <w:pPr>
        <w:pStyle w:val="BodyText"/>
      </w:pPr>
      <w:r>
        <w:t>Associate:</w:t>
      </w:r>
    </w:p>
    <w:p w:rsidR="00511E54" w:rsidRDefault="00511E54" w:rsidP="00815065">
      <w:pPr>
        <w:pStyle w:val="BodyText"/>
      </w:pPr>
    </w:p>
    <w:p w:rsidR="00511E54" w:rsidRDefault="00511E54" w:rsidP="00815065">
      <w:pPr>
        <w:pStyle w:val="BodyText"/>
        <w:tabs>
          <w:tab w:val="left" w:pos="1134"/>
        </w:tabs>
      </w:pPr>
      <w:r>
        <w:t>Dated:</w:t>
      </w:r>
      <w:r>
        <w:tab/>
      </w:r>
      <w:bookmarkStart w:id="20" w:name="CertifyDated"/>
      <w:r w:rsidR="00D9696F">
        <w:t>5 April</w:t>
      </w:r>
      <w:r>
        <w:t xml:space="preserve"> 2022</w:t>
      </w:r>
      <w:bookmarkEnd w:id="14"/>
      <w:bookmarkEnd w:id="20"/>
    </w:p>
    <w:sectPr w:rsidR="00511E54" w:rsidSect="00A84FD0">
      <w:headerReference w:type="even" r:id="rId25"/>
      <w:headerReference w:type="default" r:id="rId26"/>
      <w:footerReference w:type="default" r:id="rId27"/>
      <w:headerReference w:type="first" r:id="rId28"/>
      <w:footerReference w:type="first" r:id="rId29"/>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03CB" w:rsidRDefault="003503CB">
      <w:pPr>
        <w:spacing w:line="20" w:lineRule="exact"/>
      </w:pPr>
    </w:p>
    <w:p w:rsidR="003503CB" w:rsidRDefault="003503CB"/>
    <w:p w:rsidR="003503CB" w:rsidRDefault="003503CB"/>
  </w:endnote>
  <w:endnote w:type="continuationSeparator" w:id="0">
    <w:p w:rsidR="003503CB" w:rsidRDefault="003503CB">
      <w:r>
        <w:t xml:space="preserve"> </w:t>
      </w:r>
    </w:p>
    <w:p w:rsidR="003503CB" w:rsidRDefault="003503CB"/>
    <w:p w:rsidR="003503CB" w:rsidRDefault="003503CB"/>
  </w:endnote>
  <w:endnote w:type="continuationNotice" w:id="1">
    <w:p w:rsidR="003503CB" w:rsidRDefault="003503CB">
      <w:r>
        <w:t xml:space="preserve"> </w:t>
      </w:r>
    </w:p>
    <w:p w:rsidR="003503CB" w:rsidRDefault="003503CB"/>
    <w:p w:rsidR="003503CB" w:rsidRDefault="003503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00000000"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928" w:rsidRDefault="001C69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2D7" w:rsidRPr="00C47B9D" w:rsidRDefault="00EC3B8B" w:rsidP="00B2435E">
    <w:pPr>
      <w:pStyle w:val="Footer"/>
      <w:tabs>
        <w:tab w:val="clear" w:pos="4320"/>
        <w:tab w:val="clear" w:pos="8640"/>
        <w:tab w:val="right" w:pos="8931"/>
      </w:tabs>
      <w:spacing w:before="180" w:line="240" w:lineRule="auto"/>
      <w:jc w:val="left"/>
      <w:rPr>
        <w:bCs/>
        <w:sz w:val="18"/>
        <w:szCs w:val="18"/>
      </w:rPr>
    </w:pPr>
    <w:r>
      <w:rPr>
        <w:noProof/>
      </w:rPr>
      <w:pict>
        <v:line id="Straight Connector 5" o:spid="_x0000_s8197"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05pt" to="22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" strokecolor="black [3213]"/>
      </w:pict>
    </w:r>
    <w:sdt>
      <w:sdtPr>
        <w:rPr>
          <w:bCs/>
          <w:sz w:val="18"/>
          <w:szCs w:val="18"/>
        </w:rPr>
        <w:tag w:val="MNC"/>
        <w:id w:val="1707292070"/>
        <w:dataBinding w:prefixMappings="xmlns:ns0='http://schemas.globalmacros.com/FCA'" w:xpath="/ns0:root[1]/ns0:Name[1]" w:storeItemID="{687E7CCB-4AA5-44E7-B148-17BA2B6F57C0}"/>
        <w:text w:multiLine="1"/>
      </w:sdtPr>
      <w:sdtEndPr/>
      <w:sdtContent>
        <w:r w:rsidR="001C1BF1">
          <w:rPr>
            <w:bCs/>
            <w:sz w:val="18"/>
            <w:szCs w:val="18"/>
          </w:rPr>
          <w:t xml:space="preserve"> Application by Port of Newcastle Operations Pty Ltd (No 3) [2022] ACompT 2  </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2D7" w:rsidRPr="001C6928" w:rsidRDefault="00AB52D7" w:rsidP="001C692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2D7" w:rsidRPr="00C47B9D" w:rsidRDefault="00EC3B8B" w:rsidP="00E94CBF">
    <w:pPr>
      <w:pStyle w:val="Footer"/>
      <w:tabs>
        <w:tab w:val="clear" w:pos="4320"/>
        <w:tab w:val="clear" w:pos="8640"/>
        <w:tab w:val="right" w:pos="8931"/>
      </w:tabs>
      <w:spacing w:before="180" w:line="240" w:lineRule="auto"/>
      <w:jc w:val="left"/>
      <w:rPr>
        <w:bCs/>
        <w:sz w:val="18"/>
        <w:szCs w:val="18"/>
      </w:rPr>
    </w:pPr>
    <w:r>
      <w:rPr>
        <w:noProof/>
      </w:rPr>
      <w:pict>
        <v:line id="Straight Connector 6" o:spid="_x0000_s819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Av3wnRzgEAAAMEAAAOAAAA&#10;AAAAAAAAAAAAAC4CAABkcnMvZTJvRG9jLnhtbFBLAQItABQABgAIAAAAIQAqehV42wAAAAYBAAAP&#10;AAAAAAAAAAAAAAAAACgEAABkcnMvZG93bnJldi54bWxQSwUGAAAAAAQABADzAAAAMAUAAAAA&#10;" strokecolor="black [3213]"/>
      </w:pict>
    </w:r>
    <w:sdt>
      <w:sdtPr>
        <w:rPr>
          <w:bCs/>
          <w:sz w:val="18"/>
          <w:szCs w:val="18"/>
        </w:rPr>
        <w:tag w:val="MNC"/>
        <w:id w:val="-831216538"/>
        <w:placeholder>
          <w:docPart w:val="579A84A6904D44868532868ED3454A16"/>
        </w:placeholder>
        <w:dataBinding w:prefixMappings="xmlns:ns0='http://schemas.globalmacros.com/FCA'" w:xpath="/ns0:root[1]/ns0:Name[1]" w:storeItemID="{687E7CCB-4AA5-44E7-B148-17BA2B6F57C0}"/>
        <w:text w:multiLine="1"/>
      </w:sdtPr>
      <w:sdtEndPr/>
      <w:sdtContent>
        <w:r w:rsidR="001C1BF1">
          <w:rPr>
            <w:bCs/>
            <w:sz w:val="18"/>
            <w:szCs w:val="18"/>
          </w:rPr>
          <w:t xml:space="preserve"> Application by Port of Newcastle Operations Pty Ltd (No 3) [2022] ACompT 2  </w:t>
        </w:r>
      </w:sdtContent>
    </w:sdt>
    <w:r w:rsidR="00AB52D7">
      <w:rPr>
        <w:bCs/>
        <w:sz w:val="18"/>
        <w:szCs w:val="18"/>
      </w:rPr>
      <w:tab/>
    </w:r>
    <w:r w:rsidR="00AB52D7" w:rsidRPr="00EA7F6D">
      <w:rPr>
        <w:bCs/>
        <w:sz w:val="20"/>
      </w:rPr>
      <w:fldChar w:fldCharType="begin"/>
    </w:r>
    <w:r w:rsidR="00AB52D7" w:rsidRPr="00EA7F6D">
      <w:rPr>
        <w:bCs/>
        <w:sz w:val="20"/>
      </w:rPr>
      <w:instrText xml:space="preserve"> PAGE   \* MERGEFORMAT </w:instrText>
    </w:r>
    <w:r w:rsidR="00AB52D7" w:rsidRPr="00EA7F6D">
      <w:rPr>
        <w:bCs/>
        <w:sz w:val="20"/>
      </w:rPr>
      <w:fldChar w:fldCharType="separate"/>
    </w:r>
    <w:r w:rsidR="00BF1806">
      <w:rPr>
        <w:bCs/>
        <w:noProof/>
        <w:sz w:val="20"/>
      </w:rPr>
      <w:t>ii</w:t>
    </w:r>
    <w:r w:rsidR="00AB52D7" w:rsidRPr="00EA7F6D">
      <w:rPr>
        <w:bCs/>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2D7" w:rsidRPr="00C47B9D" w:rsidRDefault="00EC3B8B" w:rsidP="00B2435E">
    <w:pPr>
      <w:pStyle w:val="Footer"/>
      <w:tabs>
        <w:tab w:val="clear" w:pos="4320"/>
        <w:tab w:val="clear" w:pos="8640"/>
        <w:tab w:val="right" w:pos="8931"/>
      </w:tabs>
      <w:spacing w:before="180" w:line="240" w:lineRule="auto"/>
      <w:jc w:val="left"/>
      <w:rPr>
        <w:bCs/>
        <w:sz w:val="18"/>
        <w:szCs w:val="18"/>
      </w:rPr>
    </w:pPr>
    <w:r>
      <w:rPr>
        <w:noProof/>
      </w:rPr>
      <w:pict>
        <v:line id="Straight Connector 2" o:spid="_x0000_s8195"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" strokecolor="black [3213]"/>
      </w:pict>
    </w:r>
    <w:sdt>
      <w:sdtPr>
        <w:rPr>
          <w:bCs/>
          <w:sz w:val="18"/>
          <w:szCs w:val="18"/>
        </w:rPr>
        <w:tag w:val="MNC"/>
        <w:id w:val="510263260"/>
        <w:placeholder>
          <w:docPart w:val="9A2F30BFE7A242619FAC046F72CE0544"/>
        </w:placeholder>
        <w:dataBinding w:prefixMappings="xmlns:ns0='http://schemas.globalmacros.com/FCA'" w:xpath="/ns0:root[1]/ns0:Name[1]" w:storeItemID="{687E7CCB-4AA5-44E7-B148-17BA2B6F57C0}"/>
        <w:text w:multiLine="1"/>
      </w:sdtPr>
      <w:sdtEndPr/>
      <w:sdtContent>
        <w:r w:rsidR="001C1BF1">
          <w:rPr>
            <w:bCs/>
            <w:sz w:val="18"/>
            <w:szCs w:val="18"/>
          </w:rPr>
          <w:t xml:space="preserve"> Application by Port of Newcastle Operations Pty Ltd (No 3) [2022] ACompT 2  </w:t>
        </w:r>
      </w:sdtContent>
    </w:sdt>
    <w:r w:rsidR="00AB52D7">
      <w:rPr>
        <w:bCs/>
        <w:sz w:val="18"/>
        <w:szCs w:val="18"/>
      </w:rPr>
      <w:tab/>
    </w:r>
    <w:r w:rsidR="00AB52D7" w:rsidRPr="00EA7F6D">
      <w:rPr>
        <w:bCs/>
        <w:sz w:val="20"/>
      </w:rPr>
      <w:fldChar w:fldCharType="begin"/>
    </w:r>
    <w:r w:rsidR="00AB52D7" w:rsidRPr="00EA7F6D">
      <w:rPr>
        <w:bCs/>
        <w:sz w:val="20"/>
      </w:rPr>
      <w:instrText xml:space="preserve"> PAGE   \* MERGEFORMAT </w:instrText>
    </w:r>
    <w:r w:rsidR="00AB52D7" w:rsidRPr="00EA7F6D">
      <w:rPr>
        <w:bCs/>
        <w:sz w:val="20"/>
      </w:rPr>
      <w:fldChar w:fldCharType="separate"/>
    </w:r>
    <w:r w:rsidR="00BF1806">
      <w:rPr>
        <w:bCs/>
        <w:noProof/>
        <w:sz w:val="20"/>
      </w:rPr>
      <w:t>i</w:t>
    </w:r>
    <w:r w:rsidR="00AB52D7" w:rsidRPr="00EA7F6D">
      <w:rPr>
        <w:bCs/>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2D7" w:rsidRPr="00C47B9D" w:rsidRDefault="00EC3B8B" w:rsidP="00B2435E">
    <w:pPr>
      <w:pStyle w:val="Footer"/>
      <w:tabs>
        <w:tab w:val="clear" w:pos="4320"/>
        <w:tab w:val="clear" w:pos="8640"/>
        <w:tab w:val="right" w:pos="8931"/>
      </w:tabs>
      <w:spacing w:before="180" w:line="240" w:lineRule="auto"/>
      <w:jc w:val="left"/>
      <w:rPr>
        <w:bCs/>
        <w:sz w:val="18"/>
        <w:szCs w:val="18"/>
      </w:rPr>
    </w:pPr>
    <w:r>
      <w:rPr>
        <w:noProof/>
      </w:rPr>
      <w:pict>
        <v:line id="Straight Connector 7" o:spid="_x0000_s8194"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" strokecolor="black [3213]"/>
      </w:pict>
    </w:r>
    <w:sdt>
      <w:sdtPr>
        <w:rPr>
          <w:bCs/>
          <w:sz w:val="18"/>
          <w:szCs w:val="18"/>
        </w:rPr>
        <w:tag w:val="MNC"/>
        <w:id w:val="1095746746"/>
        <w:placeholder>
          <w:docPart w:val="45FC650237294DE29E4711166AEDA3D1"/>
        </w:placeholder>
        <w:dataBinding w:prefixMappings="xmlns:ns0='http://schemas.globalmacros.com/FCA'" w:xpath="/ns0:root[1]/ns0:Name[1]" w:storeItemID="{687E7CCB-4AA5-44E7-B148-17BA2B6F57C0}"/>
        <w:text w:multiLine="1"/>
      </w:sdtPr>
      <w:sdtEndPr/>
      <w:sdtContent>
        <w:r w:rsidR="001C1BF1">
          <w:rPr>
            <w:bCs/>
            <w:sz w:val="18"/>
            <w:szCs w:val="18"/>
          </w:rPr>
          <w:t xml:space="preserve"> Application by Port of Newcastle Operations Pty Ltd (No 3) [2022] ACompT 2  </w:t>
        </w:r>
      </w:sdtContent>
    </w:sdt>
    <w:r w:rsidR="00AB52D7">
      <w:rPr>
        <w:bCs/>
        <w:sz w:val="18"/>
        <w:szCs w:val="18"/>
      </w:rPr>
      <w:tab/>
    </w:r>
    <w:r w:rsidR="00AB52D7" w:rsidRPr="00EA7F6D">
      <w:rPr>
        <w:bCs/>
        <w:sz w:val="20"/>
      </w:rPr>
      <w:fldChar w:fldCharType="begin"/>
    </w:r>
    <w:r w:rsidR="00AB52D7" w:rsidRPr="00EA7F6D">
      <w:rPr>
        <w:bCs/>
        <w:sz w:val="20"/>
      </w:rPr>
      <w:instrText xml:space="preserve"> PAGE   \* MERGEFORMAT </w:instrText>
    </w:r>
    <w:r w:rsidR="00AB52D7" w:rsidRPr="00EA7F6D">
      <w:rPr>
        <w:bCs/>
        <w:sz w:val="20"/>
      </w:rPr>
      <w:fldChar w:fldCharType="separate"/>
    </w:r>
    <w:r w:rsidR="00BF1806">
      <w:rPr>
        <w:bCs/>
        <w:noProof/>
        <w:sz w:val="20"/>
      </w:rPr>
      <w:t>11</w:t>
    </w:r>
    <w:r w:rsidR="00AB52D7" w:rsidRPr="00EA7F6D">
      <w:rPr>
        <w:bCs/>
        <w:noProof/>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2D7" w:rsidRPr="00C47B9D" w:rsidRDefault="00EC3B8B" w:rsidP="00B2435E">
    <w:pPr>
      <w:pStyle w:val="Footer"/>
      <w:tabs>
        <w:tab w:val="clear" w:pos="4320"/>
        <w:tab w:val="clear" w:pos="8640"/>
        <w:tab w:val="right" w:pos="8931"/>
      </w:tabs>
      <w:spacing w:before="180" w:line="240" w:lineRule="auto"/>
      <w:jc w:val="left"/>
      <w:rPr>
        <w:bCs/>
        <w:sz w:val="18"/>
        <w:szCs w:val="18"/>
      </w:rPr>
    </w:pPr>
    <w:r>
      <w:rPr>
        <w:noProof/>
      </w:rPr>
      <w:pict>
        <v:line id="Straight Connector 3" o:spid="_x0000_s8193"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CXUeOMzgEAAAMEAAAOAAAA&#10;AAAAAAAAAAAAAC4CAABkcnMvZTJvRG9jLnhtbFBLAQItABQABgAIAAAAIQAqehV42wAAAAYBAAAP&#10;AAAAAAAAAAAAAAAAACgEAABkcnMvZG93bnJldi54bWxQSwUGAAAAAAQABADzAAAAMAUAAAAA&#10;" strokecolor="black [3213]"/>
      </w:pict>
    </w:r>
    <w:sdt>
      <w:sdtPr>
        <w:rPr>
          <w:bCs/>
          <w:sz w:val="18"/>
          <w:szCs w:val="18"/>
        </w:rPr>
        <w:tag w:val="MNC"/>
        <w:id w:val="-1532949365"/>
        <w:placeholder>
          <w:docPart w:val="F2A4848C85BE45BF889542B6CE28C51C"/>
        </w:placeholder>
        <w:dataBinding w:prefixMappings="xmlns:ns0='http://schemas.globalmacros.com/FCA'" w:xpath="/ns0:root[1]/ns0:Name[1]" w:storeItemID="{687E7CCB-4AA5-44E7-B148-17BA2B6F57C0}"/>
        <w:text w:multiLine="1"/>
      </w:sdtPr>
      <w:sdtEndPr/>
      <w:sdtContent>
        <w:r w:rsidR="001C1BF1">
          <w:rPr>
            <w:bCs/>
            <w:sz w:val="18"/>
            <w:szCs w:val="18"/>
          </w:rPr>
          <w:t xml:space="preserve"> Application by Port of Newcastle Operations Pty Ltd (No 3) [2022] ACompT 2  </w:t>
        </w:r>
      </w:sdtContent>
    </w:sdt>
    <w:r w:rsidR="00AB52D7">
      <w:rPr>
        <w:bCs/>
        <w:sz w:val="18"/>
        <w:szCs w:val="18"/>
      </w:rPr>
      <w:tab/>
    </w:r>
    <w:r w:rsidR="00AB52D7" w:rsidRPr="00EA7F6D">
      <w:rPr>
        <w:bCs/>
        <w:sz w:val="20"/>
      </w:rPr>
      <w:fldChar w:fldCharType="begin"/>
    </w:r>
    <w:r w:rsidR="00AB52D7" w:rsidRPr="00EA7F6D">
      <w:rPr>
        <w:bCs/>
        <w:sz w:val="20"/>
      </w:rPr>
      <w:instrText xml:space="preserve"> PAGE   \* MERGEFORMAT </w:instrText>
    </w:r>
    <w:r w:rsidR="00AB52D7" w:rsidRPr="00EA7F6D">
      <w:rPr>
        <w:bCs/>
        <w:sz w:val="20"/>
      </w:rPr>
      <w:fldChar w:fldCharType="separate"/>
    </w:r>
    <w:r w:rsidR="00BF1806">
      <w:rPr>
        <w:bCs/>
        <w:noProof/>
        <w:sz w:val="20"/>
      </w:rPr>
      <w:t>1</w:t>
    </w:r>
    <w:r w:rsidR="00AB52D7" w:rsidRPr="00EA7F6D">
      <w:rPr>
        <w:bC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03CB" w:rsidRDefault="003503CB"/>
  </w:footnote>
  <w:footnote w:type="continuationSeparator" w:id="0">
    <w:p w:rsidR="003503CB" w:rsidRDefault="003503CB">
      <w:r>
        <w:continuationSeparator/>
      </w:r>
    </w:p>
    <w:p w:rsidR="003503CB" w:rsidRDefault="003503CB"/>
    <w:p w:rsidR="003503CB" w:rsidRDefault="003503C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928" w:rsidRDefault="001C69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928" w:rsidRDefault="001C69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928" w:rsidRDefault="001C692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2D7" w:rsidRDefault="00AB52D7">
    <w:pPr>
      <w:tabs>
        <w:tab w:val="center" w:pos="4512"/>
      </w:tabs>
      <w:suppressAutoHyphen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2D7" w:rsidRDefault="00AB52D7">
    <w:pPr>
      <w:pStyle w:val="Header"/>
      <w:tabs>
        <w:tab w:val="clear" w:pos="4320"/>
        <w:tab w:val="clear" w:pos="8640"/>
      </w:tabs>
      <w:jc w:val="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2D7" w:rsidRDefault="00AB52D7"/>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2D7" w:rsidRDefault="00AB52D7">
    <w:pPr>
      <w:tabs>
        <w:tab w:val="center" w:pos="4512"/>
      </w:tabs>
      <w:suppressAutoHyphens/>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2D7" w:rsidRDefault="00AB52D7" w:rsidP="00A436E8">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9E2A2F"/>
    <w:multiLevelType w:val="multilevel"/>
    <w:tmpl w:val="F61AF490"/>
    <w:styleLink w:val="FCListNoalt"/>
    <w:lvl w:ilvl="0">
      <w:start w:val="1"/>
      <w:numFmt w:val="lowerLetter"/>
      <w:lvlRestart w:val="0"/>
      <w:pStyle w:val="ListNo1alt"/>
      <w:lvlText w:val="(%1)"/>
      <w:lvlJc w:val="left"/>
      <w:pPr>
        <w:tabs>
          <w:tab w:val="num" w:pos="720"/>
        </w:tabs>
        <w:ind w:left="720" w:hanging="720"/>
      </w:pPr>
      <w:rPr>
        <w:rFonts w:ascii="Times New Roman" w:hAnsi="Times New Roman" w:hint="default"/>
      </w:rPr>
    </w:lvl>
    <w:lvl w:ilvl="1">
      <w:start w:val="1"/>
      <w:numFmt w:val="lowerRoman"/>
      <w:pStyle w:val="ListNo2alt"/>
      <w:lvlText w:val="(%2)"/>
      <w:lvlJc w:val="left"/>
      <w:pPr>
        <w:tabs>
          <w:tab w:val="num" w:pos="1440"/>
        </w:tabs>
        <w:ind w:left="1440" w:hanging="720"/>
      </w:pPr>
      <w:rPr>
        <w:rFonts w:hint="default"/>
      </w:rPr>
    </w:lvl>
    <w:lvl w:ilvl="2">
      <w:start w:val="1"/>
      <w:numFmt w:val="upperLetter"/>
      <w:pStyle w:val="ListNo3alt"/>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1"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15:restartNumberingAfterBreak="0">
    <w:nsid w:val="168F28D0"/>
    <w:multiLevelType w:val="multilevel"/>
    <w:tmpl w:val="D26E5E56"/>
    <w:lvl w:ilvl="0">
      <w:start w:val="1"/>
      <w:numFmt w:val="bullet"/>
      <w:pStyle w:val="FCBullets"/>
      <w:lvlText w:val=""/>
      <w:lvlJc w:val="left"/>
      <w:pPr>
        <w:tabs>
          <w:tab w:val="num" w:pos="720"/>
        </w:tabs>
        <w:ind w:left="720" w:hanging="720"/>
      </w:pPr>
      <w:rPr>
        <w:rFonts w:ascii="Symbol" w:hAnsi="Symbol" w:hint="default"/>
      </w:rPr>
    </w:lvl>
    <w:lvl w:ilvl="1">
      <w:start w:val="1"/>
      <w:numFmt w:val="bullet"/>
      <w:pStyle w:val="FCBullets2"/>
      <w:lvlText w:val=""/>
      <w:lvlJc w:val="left"/>
      <w:pPr>
        <w:tabs>
          <w:tab w:val="num" w:pos="1440"/>
        </w:tabs>
        <w:ind w:left="1440" w:hanging="720"/>
      </w:pPr>
      <w:rPr>
        <w:rFonts w:ascii="Symbol" w:hAnsi="Symbol" w:hint="default"/>
        <w:sz w:val="24"/>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3"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4" w15:restartNumberingAfterBreak="0">
    <w:nsid w:val="29AE3DD1"/>
    <w:multiLevelType w:val="singleLevel"/>
    <w:tmpl w:val="5C92B9B0"/>
    <w:lvl w:ilvl="0">
      <w:start w:val="1"/>
      <w:numFmt w:val="decimal"/>
      <w:lvlRestart w:val="0"/>
      <w:pStyle w:val="ParaNumbering"/>
      <w:lvlText w:val="%1"/>
      <w:lvlJc w:val="left"/>
      <w:pPr>
        <w:tabs>
          <w:tab w:val="num" w:pos="720"/>
        </w:tabs>
        <w:ind w:left="0" w:hanging="720"/>
      </w:pPr>
      <w:rPr>
        <w:rFonts w:hint="default"/>
        <w:sz w:val="20"/>
      </w:rPr>
    </w:lvl>
  </w:abstractNum>
  <w:abstractNum w:abstractNumId="15" w15:restartNumberingAfterBreak="0">
    <w:nsid w:val="2AD4345C"/>
    <w:multiLevelType w:val="multilevel"/>
    <w:tmpl w:val="A1C8FFD0"/>
    <w:styleLink w:val="FCOrders"/>
    <w:lvl w:ilvl="0">
      <w:start w:val="1"/>
      <w:numFmt w:val="decimal"/>
      <w:pStyle w:val="Order1"/>
      <w:lvlText w:val="%1."/>
      <w:lvlJc w:val="left"/>
      <w:pPr>
        <w:tabs>
          <w:tab w:val="num" w:pos="720"/>
        </w:tabs>
        <w:ind w:left="720" w:hanging="720"/>
      </w:pPr>
      <w:rPr>
        <w:rFonts w:ascii="Times New Roman" w:hAnsi="Times New Roman" w:hint="default"/>
        <w:sz w:val="24"/>
      </w:rPr>
    </w:lvl>
    <w:lvl w:ilvl="1">
      <w:start w:val="1"/>
      <w:numFmt w:val="lowerLetter"/>
      <w:pStyle w:val="Order2"/>
      <w:lvlText w:val="(%2)"/>
      <w:lvlJc w:val="left"/>
      <w:pPr>
        <w:tabs>
          <w:tab w:val="num" w:pos="1440"/>
        </w:tabs>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start w:val="1"/>
      <w:numFmt w:val="upperLetter"/>
      <w:pStyle w:val="Order4"/>
      <w:lvlText w:val="%4."/>
      <w:lvlJc w:val="left"/>
      <w:pPr>
        <w:tabs>
          <w:tab w:val="num" w:pos="2160"/>
        </w:tabs>
        <w:ind w:left="2880" w:hanging="72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2AF11FCB"/>
    <w:multiLevelType w:val="hybridMultilevel"/>
    <w:tmpl w:val="94A6534E"/>
    <w:lvl w:ilvl="0" w:tplc="31029F3C">
      <w:start w:val="1"/>
      <w:numFmt w:val="bullet"/>
      <w:pStyle w:val="Quote4Bullet"/>
      <w:lvlText w:val=""/>
      <w:lvlJc w:val="left"/>
      <w:pPr>
        <w:ind w:left="3600" w:hanging="360"/>
      </w:pPr>
      <w:rPr>
        <w:rFonts w:ascii="Symbol" w:hAnsi="Symbol" w:hint="default"/>
        <w:sz w:val="16"/>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7" w15:restartNumberingAfterBreak="0">
    <w:nsid w:val="32D95B3D"/>
    <w:multiLevelType w:val="multilevel"/>
    <w:tmpl w:val="253A8338"/>
    <w:styleLink w:val="FCNotes"/>
    <w:lvl w:ilvl="0">
      <w:start w:val="1"/>
      <w:numFmt w:val="upperLetter"/>
      <w:pStyle w:val="Notes"/>
      <w:lvlText w:val="%1."/>
      <w:lvlJc w:val="left"/>
      <w:pPr>
        <w:tabs>
          <w:tab w:val="num" w:pos="720"/>
        </w:tabs>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3561E2E"/>
    <w:multiLevelType w:val="hybridMultilevel"/>
    <w:tmpl w:val="433821BE"/>
    <w:lvl w:ilvl="0" w:tplc="DE3AD0E2">
      <w:start w:val="1"/>
      <w:numFmt w:val="bullet"/>
      <w:pStyle w:val="Quote3Bullet"/>
      <w:lvlText w:val=""/>
      <w:lvlJc w:val="left"/>
      <w:pPr>
        <w:ind w:left="2880" w:hanging="360"/>
      </w:pPr>
      <w:rPr>
        <w:rFonts w:ascii="Wingdings" w:hAnsi="Wingdings" w:hint="default"/>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9" w15:restartNumberingAfterBreak="0">
    <w:nsid w:val="3C9157C0"/>
    <w:multiLevelType w:val="multilevel"/>
    <w:tmpl w:val="9FD8B506"/>
    <w:styleLink w:val="CUIndent"/>
    <w:lvl w:ilvl="0">
      <w:start w:val="1"/>
      <w:numFmt w:val="none"/>
      <w:pStyle w:val="IndentParaLevel1"/>
      <w:lvlText w:val="%1"/>
      <w:lvlJc w:val="left"/>
      <w:pPr>
        <w:tabs>
          <w:tab w:val="num" w:pos="964"/>
        </w:tabs>
        <w:ind w:left="964" w:firstLine="0"/>
      </w:pPr>
      <w:rPr>
        <w:rFonts w:hint="default"/>
      </w:rPr>
    </w:lvl>
    <w:lvl w:ilvl="1">
      <w:start w:val="1"/>
      <w:numFmt w:val="none"/>
      <w:pStyle w:val="IndentParaLevel2"/>
      <w:lvlText w:val="%2"/>
      <w:lvlJc w:val="left"/>
      <w:pPr>
        <w:tabs>
          <w:tab w:val="num" w:pos="1928"/>
        </w:tabs>
        <w:ind w:left="1928" w:firstLine="0"/>
      </w:pPr>
      <w:rPr>
        <w:rFonts w:hint="default"/>
      </w:rPr>
    </w:lvl>
    <w:lvl w:ilvl="2">
      <w:start w:val="1"/>
      <w:numFmt w:val="none"/>
      <w:pStyle w:val="IndentParaLevel3"/>
      <w:lvlText w:val=""/>
      <w:lvlJc w:val="left"/>
      <w:pPr>
        <w:tabs>
          <w:tab w:val="num" w:pos="2892"/>
        </w:tabs>
        <w:ind w:left="2892" w:firstLine="0"/>
      </w:pPr>
      <w:rPr>
        <w:rFonts w:hint="default"/>
      </w:rPr>
    </w:lvl>
    <w:lvl w:ilvl="3">
      <w:start w:val="1"/>
      <w:numFmt w:val="none"/>
      <w:pStyle w:val="IndentParaLevel4"/>
      <w:lvlText w:val=""/>
      <w:lvlJc w:val="left"/>
      <w:pPr>
        <w:tabs>
          <w:tab w:val="num" w:pos="3856"/>
        </w:tabs>
        <w:ind w:left="3856" w:firstLine="0"/>
      </w:pPr>
      <w:rPr>
        <w:rFonts w:hint="default"/>
      </w:rPr>
    </w:lvl>
    <w:lvl w:ilvl="4">
      <w:start w:val="1"/>
      <w:numFmt w:val="none"/>
      <w:pStyle w:val="IndentParaLevel5"/>
      <w:lvlText w:val=""/>
      <w:lvlJc w:val="left"/>
      <w:pPr>
        <w:tabs>
          <w:tab w:val="num" w:pos="4820"/>
        </w:tabs>
        <w:ind w:left="4820" w:firstLine="0"/>
      </w:pPr>
      <w:rPr>
        <w:rFonts w:hint="default"/>
      </w:rPr>
    </w:lvl>
    <w:lvl w:ilvl="5">
      <w:start w:val="1"/>
      <w:numFmt w:val="none"/>
      <w:pStyle w:val="IndentParaLevel6"/>
      <w:lvlText w:val=""/>
      <w:lvlJc w:val="left"/>
      <w:pPr>
        <w:tabs>
          <w:tab w:val="num" w:pos="5783"/>
        </w:tabs>
        <w:ind w:left="5783" w:firstLine="0"/>
      </w:pPr>
      <w:rPr>
        <w:rFonts w:hint="default"/>
      </w:rPr>
    </w:lvl>
    <w:lvl w:ilvl="6">
      <w:start w:val="1"/>
      <w:numFmt w:val="none"/>
      <w:lvlText w:val=""/>
      <w:lvlJc w:val="left"/>
      <w:pPr>
        <w:tabs>
          <w:tab w:val="num" w:pos="964"/>
        </w:tabs>
        <w:ind w:left="964" w:firstLine="0"/>
      </w:pPr>
      <w:rPr>
        <w:rFonts w:hint="default"/>
      </w:rPr>
    </w:lvl>
    <w:lvl w:ilvl="7">
      <w:start w:val="1"/>
      <w:numFmt w:val="none"/>
      <w:lvlText w:val=""/>
      <w:lvlJc w:val="left"/>
      <w:pPr>
        <w:tabs>
          <w:tab w:val="num" w:pos="964"/>
        </w:tabs>
        <w:ind w:left="964" w:firstLine="0"/>
      </w:pPr>
      <w:rPr>
        <w:rFonts w:hint="default"/>
      </w:rPr>
    </w:lvl>
    <w:lvl w:ilvl="8">
      <w:start w:val="1"/>
      <w:numFmt w:val="none"/>
      <w:lvlText w:val=""/>
      <w:lvlJc w:val="left"/>
      <w:pPr>
        <w:tabs>
          <w:tab w:val="num" w:pos="964"/>
        </w:tabs>
        <w:ind w:left="964" w:firstLine="0"/>
      </w:pPr>
      <w:rPr>
        <w:rFonts w:hint="default"/>
      </w:rPr>
    </w:lvl>
  </w:abstractNum>
  <w:abstractNum w:abstractNumId="20" w15:restartNumberingAfterBreak="0">
    <w:nsid w:val="494817A7"/>
    <w:multiLevelType w:val="multilevel"/>
    <w:tmpl w:val="0F0EC90E"/>
    <w:numStyleLink w:val="FCListNo"/>
  </w:abstractNum>
  <w:abstractNum w:abstractNumId="21"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4" w15:restartNumberingAfterBreak="0">
    <w:nsid w:val="688D26AD"/>
    <w:multiLevelType w:val="multilevel"/>
    <w:tmpl w:val="6FFE0342"/>
    <w:lvl w:ilvl="0">
      <w:start w:val="1"/>
      <w:numFmt w:val="decimal"/>
      <w:pStyle w:val="CUNumber1"/>
      <w:lvlText w:val="%1."/>
      <w:lvlJc w:val="left"/>
      <w:pPr>
        <w:tabs>
          <w:tab w:val="num" w:pos="964"/>
        </w:tabs>
        <w:ind w:left="964" w:hanging="964"/>
      </w:pPr>
      <w:rPr>
        <w:rFonts w:hint="default"/>
        <w:b/>
        <w:i w:val="0"/>
        <w:caps/>
        <w:sz w:val="20"/>
        <w:szCs w:val="22"/>
        <w:u w:val="none"/>
      </w:rPr>
    </w:lvl>
    <w:lvl w:ilvl="1">
      <w:start w:val="1"/>
      <w:numFmt w:val="decimal"/>
      <w:pStyle w:val="CUNumber2"/>
      <w:lvlText w:val="%1.%2"/>
      <w:lvlJc w:val="left"/>
      <w:pPr>
        <w:tabs>
          <w:tab w:val="num" w:pos="1674"/>
        </w:tabs>
        <w:ind w:left="1674" w:hanging="964"/>
      </w:pPr>
      <w:rPr>
        <w:rFonts w:ascii="Arial" w:hAnsi="Arial" w:hint="default"/>
        <w:b w:val="0"/>
        <w:i w:val="0"/>
        <w:sz w:val="20"/>
        <w:u w:val="none"/>
      </w:rPr>
    </w:lvl>
    <w:lvl w:ilvl="2">
      <w:start w:val="1"/>
      <w:numFmt w:val="lowerLetter"/>
      <w:pStyle w:val="CUNumber3"/>
      <w:lvlText w:val="(%3)"/>
      <w:lvlJc w:val="left"/>
      <w:pPr>
        <w:tabs>
          <w:tab w:val="num" w:pos="1928"/>
        </w:tabs>
        <w:ind w:left="1928" w:hanging="964"/>
      </w:pPr>
      <w:rPr>
        <w:rFonts w:ascii="Arial" w:hAnsi="Arial" w:hint="default"/>
        <w:b w:val="0"/>
        <w:i w:val="0"/>
        <w:sz w:val="20"/>
        <w:u w:val="none"/>
      </w:rPr>
    </w:lvl>
    <w:lvl w:ilvl="3">
      <w:start w:val="1"/>
      <w:numFmt w:val="lowerRoman"/>
      <w:pStyle w:val="CUNumber4"/>
      <w:lvlText w:val="(%4)"/>
      <w:lvlJc w:val="left"/>
      <w:pPr>
        <w:tabs>
          <w:tab w:val="num" w:pos="2891"/>
        </w:tabs>
        <w:ind w:left="2891" w:hanging="963"/>
      </w:pPr>
      <w:rPr>
        <w:rFonts w:ascii="Arial" w:hAnsi="Arial" w:hint="default"/>
        <w:b w:val="0"/>
        <w:i w:val="0"/>
        <w:sz w:val="20"/>
        <w:u w:val="none"/>
      </w:rPr>
    </w:lvl>
    <w:lvl w:ilvl="4">
      <w:start w:val="1"/>
      <w:numFmt w:val="upperLetter"/>
      <w:pStyle w:val="CUNumber5"/>
      <w:lvlText w:val="%5."/>
      <w:lvlJc w:val="left"/>
      <w:pPr>
        <w:tabs>
          <w:tab w:val="num" w:pos="3855"/>
        </w:tabs>
        <w:ind w:left="3855" w:hanging="964"/>
      </w:pPr>
      <w:rPr>
        <w:rFonts w:ascii="Arial" w:hAnsi="Arial" w:hint="default"/>
        <w:b w:val="0"/>
        <w:i w:val="0"/>
        <w:sz w:val="20"/>
        <w:u w:val="none"/>
      </w:rPr>
    </w:lvl>
    <w:lvl w:ilvl="5">
      <w:start w:val="1"/>
      <w:numFmt w:val="decimal"/>
      <w:pStyle w:val="CUNumber6"/>
      <w:lvlText w:val="%6)"/>
      <w:lvlJc w:val="left"/>
      <w:pPr>
        <w:tabs>
          <w:tab w:val="num" w:pos="4819"/>
        </w:tabs>
        <w:ind w:left="4819" w:hanging="964"/>
      </w:pPr>
      <w:rPr>
        <w:rFonts w:ascii="Arial" w:hAnsi="Arial" w:hint="default"/>
        <w:b w:val="0"/>
        <w:i w:val="0"/>
        <w:sz w:val="20"/>
        <w:u w:val="none"/>
      </w:rPr>
    </w:lvl>
    <w:lvl w:ilvl="6">
      <w:start w:val="1"/>
      <w:numFmt w:val="lowerLetter"/>
      <w:pStyle w:val="CUNumber7"/>
      <w:lvlText w:val="%7)"/>
      <w:lvlJc w:val="left"/>
      <w:pPr>
        <w:tabs>
          <w:tab w:val="num" w:pos="5783"/>
        </w:tabs>
        <w:ind w:left="5783" w:hanging="964"/>
      </w:pPr>
      <w:rPr>
        <w:rFonts w:ascii="Arial" w:hAnsi="Arial" w:hint="default"/>
        <w:b w:val="0"/>
        <w:i w:val="0"/>
        <w:sz w:val="20"/>
        <w:u w:val="none"/>
      </w:rPr>
    </w:lvl>
    <w:lvl w:ilvl="7">
      <w:start w:val="1"/>
      <w:numFmt w:val="lowerRoman"/>
      <w:pStyle w:val="CUNumber8"/>
      <w:lvlText w:val="%8)"/>
      <w:lvlJc w:val="left"/>
      <w:pPr>
        <w:tabs>
          <w:tab w:val="num" w:pos="6746"/>
        </w:tabs>
        <w:ind w:left="6746" w:hanging="963"/>
      </w:pPr>
      <w:rPr>
        <w:rFonts w:ascii="Arial" w:hAnsi="Arial" w:hint="default"/>
        <w:b w:val="0"/>
        <w:i w:val="0"/>
        <w:sz w:val="20"/>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25"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6"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4"/>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3"/>
  </w:num>
  <w:num w:numId="13">
    <w:abstractNumId w:val="21"/>
  </w:num>
  <w:num w:numId="14">
    <w:abstractNumId w:val="22"/>
  </w:num>
  <w:num w:numId="15">
    <w:abstractNumId w:val="26"/>
  </w:num>
  <w:num w:numId="16">
    <w:abstractNumId w:val="13"/>
  </w:num>
  <w:num w:numId="17">
    <w:abstractNumId w:val="25"/>
  </w:num>
  <w:num w:numId="18">
    <w:abstractNumId w:val="11"/>
  </w:num>
  <w:num w:numId="19">
    <w:abstractNumId w:val="18"/>
  </w:num>
  <w:num w:numId="20">
    <w:abstractNumId w:val="15"/>
  </w:num>
  <w:num w:numId="21">
    <w:abstractNumId w:val="16"/>
  </w:num>
  <w:num w:numId="22">
    <w:abstractNumId w:val="20"/>
  </w:num>
  <w:num w:numId="23">
    <w:abstractNumId w:val="10"/>
  </w:num>
  <w:num w:numId="24">
    <w:abstractNumId w:val="10"/>
  </w:num>
  <w:num w:numId="25">
    <w:abstractNumId w:val="12"/>
  </w:num>
  <w:num w:numId="26">
    <w:abstractNumId w:val="17"/>
  </w:num>
  <w:num w:numId="27">
    <w:abstractNumId w:val="17"/>
  </w:num>
  <w:num w:numId="28">
    <w:abstractNumId w:val="17"/>
  </w:num>
  <w:num w:numId="29">
    <w:abstractNumId w:val="19"/>
  </w:num>
  <w:num w:numId="30">
    <w:abstractNumId w:val="24"/>
  </w:num>
  <w:num w:numId="31">
    <w:abstractNumId w:val="24"/>
    <w:lvlOverride w:ilvl="0">
      <w:startOverride w:val="1"/>
    </w:lvlOverride>
    <w:lvlOverride w:ilvl="1">
      <w:startOverride w:val="1"/>
    </w:lvlOverride>
    <w:lvlOverride w:ilvl="2">
      <w:startOverride w:val="2"/>
    </w:lvlOverride>
  </w:num>
  <w:num w:numId="32">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8198"/>
    <o:shapelayout v:ext="edit">
      <o:idmap v:ext="edit" data="8"/>
    </o:shapelayout>
  </w:hdrShapeDefaults>
  <w:footnotePr>
    <w:footnote w:id="-1"/>
    <w:footnote w:id="0"/>
  </w:footnotePr>
  <w:endnotePr>
    <w:numFmt w:val="decimal"/>
    <w:endnote w:id="-1"/>
    <w:endnote w:id="0"/>
    <w:endnote w:id="1"/>
  </w:endnotePr>
  <w:compat>
    <w:useFELayout/>
    <w:compatSetting w:name="compatibilityMode" w:uri="http://schemas.microsoft.com/office/word" w:val="15"/>
  </w:compat>
  <w:rsids>
    <w:rsidRoot w:val="000C0278"/>
    <w:rsid w:val="00000747"/>
    <w:rsid w:val="00000C5C"/>
    <w:rsid w:val="000115C5"/>
    <w:rsid w:val="0001469E"/>
    <w:rsid w:val="00015993"/>
    <w:rsid w:val="00021CCB"/>
    <w:rsid w:val="00022289"/>
    <w:rsid w:val="00022E3C"/>
    <w:rsid w:val="000237E9"/>
    <w:rsid w:val="00027398"/>
    <w:rsid w:val="0003201A"/>
    <w:rsid w:val="0003207A"/>
    <w:rsid w:val="00032F9F"/>
    <w:rsid w:val="00041C07"/>
    <w:rsid w:val="000456D1"/>
    <w:rsid w:val="00045A5B"/>
    <w:rsid w:val="00045BB7"/>
    <w:rsid w:val="00055719"/>
    <w:rsid w:val="0005641B"/>
    <w:rsid w:val="0006196A"/>
    <w:rsid w:val="00064D12"/>
    <w:rsid w:val="000650F0"/>
    <w:rsid w:val="00071FB3"/>
    <w:rsid w:val="00077768"/>
    <w:rsid w:val="00081497"/>
    <w:rsid w:val="000831EC"/>
    <w:rsid w:val="00084126"/>
    <w:rsid w:val="00085255"/>
    <w:rsid w:val="000A2E76"/>
    <w:rsid w:val="000A4807"/>
    <w:rsid w:val="000A4BE4"/>
    <w:rsid w:val="000C023E"/>
    <w:rsid w:val="000C0278"/>
    <w:rsid w:val="000C405D"/>
    <w:rsid w:val="000C5195"/>
    <w:rsid w:val="000C5BD7"/>
    <w:rsid w:val="000C62EF"/>
    <w:rsid w:val="000D2137"/>
    <w:rsid w:val="000D3FD2"/>
    <w:rsid w:val="000D4245"/>
    <w:rsid w:val="000D4B2E"/>
    <w:rsid w:val="000E3FC8"/>
    <w:rsid w:val="000E7BAE"/>
    <w:rsid w:val="000F133D"/>
    <w:rsid w:val="00103FA2"/>
    <w:rsid w:val="0010536B"/>
    <w:rsid w:val="0011145C"/>
    <w:rsid w:val="001128BD"/>
    <w:rsid w:val="0011419D"/>
    <w:rsid w:val="00114B02"/>
    <w:rsid w:val="0011783E"/>
    <w:rsid w:val="00121268"/>
    <w:rsid w:val="001226C0"/>
    <w:rsid w:val="001251C4"/>
    <w:rsid w:val="00125E64"/>
    <w:rsid w:val="00126EC8"/>
    <w:rsid w:val="0012731C"/>
    <w:rsid w:val="00132054"/>
    <w:rsid w:val="00134964"/>
    <w:rsid w:val="001351B9"/>
    <w:rsid w:val="00155CD2"/>
    <w:rsid w:val="001727A4"/>
    <w:rsid w:val="0017376C"/>
    <w:rsid w:val="001738AB"/>
    <w:rsid w:val="001765E0"/>
    <w:rsid w:val="00177759"/>
    <w:rsid w:val="00180BB3"/>
    <w:rsid w:val="00185DD6"/>
    <w:rsid w:val="00185E6B"/>
    <w:rsid w:val="00187BBC"/>
    <w:rsid w:val="001932F3"/>
    <w:rsid w:val="00196159"/>
    <w:rsid w:val="001A0FC8"/>
    <w:rsid w:val="001A2B40"/>
    <w:rsid w:val="001A3380"/>
    <w:rsid w:val="001A4309"/>
    <w:rsid w:val="001A46AE"/>
    <w:rsid w:val="001A6C52"/>
    <w:rsid w:val="001B1053"/>
    <w:rsid w:val="001B14AC"/>
    <w:rsid w:val="001B7940"/>
    <w:rsid w:val="001C171A"/>
    <w:rsid w:val="001C1BF1"/>
    <w:rsid w:val="001C2FE0"/>
    <w:rsid w:val="001C37CA"/>
    <w:rsid w:val="001C4085"/>
    <w:rsid w:val="001C6928"/>
    <w:rsid w:val="001D4303"/>
    <w:rsid w:val="001D6746"/>
    <w:rsid w:val="001E0C61"/>
    <w:rsid w:val="001E3B49"/>
    <w:rsid w:val="001E4A05"/>
    <w:rsid w:val="001E6A19"/>
    <w:rsid w:val="001E7388"/>
    <w:rsid w:val="001F13DD"/>
    <w:rsid w:val="001F2473"/>
    <w:rsid w:val="001F2DBC"/>
    <w:rsid w:val="001F73E8"/>
    <w:rsid w:val="002017E5"/>
    <w:rsid w:val="0020262C"/>
    <w:rsid w:val="00202723"/>
    <w:rsid w:val="00211A3E"/>
    <w:rsid w:val="00213F20"/>
    <w:rsid w:val="00214055"/>
    <w:rsid w:val="00215BCA"/>
    <w:rsid w:val="002160F5"/>
    <w:rsid w:val="00217AC4"/>
    <w:rsid w:val="00221461"/>
    <w:rsid w:val="00224537"/>
    <w:rsid w:val="00235956"/>
    <w:rsid w:val="00243E5E"/>
    <w:rsid w:val="002467A6"/>
    <w:rsid w:val="00247C9A"/>
    <w:rsid w:val="0025160C"/>
    <w:rsid w:val="002535D0"/>
    <w:rsid w:val="002539B3"/>
    <w:rsid w:val="00256336"/>
    <w:rsid w:val="00257C3E"/>
    <w:rsid w:val="002602C2"/>
    <w:rsid w:val="002666C9"/>
    <w:rsid w:val="00270136"/>
    <w:rsid w:val="00270401"/>
    <w:rsid w:val="00270FD7"/>
    <w:rsid w:val="002713BB"/>
    <w:rsid w:val="00274F5B"/>
    <w:rsid w:val="00280836"/>
    <w:rsid w:val="00282E1A"/>
    <w:rsid w:val="002840F1"/>
    <w:rsid w:val="00285922"/>
    <w:rsid w:val="0029113B"/>
    <w:rsid w:val="002934C0"/>
    <w:rsid w:val="00293E1F"/>
    <w:rsid w:val="0029764C"/>
    <w:rsid w:val="002A1B50"/>
    <w:rsid w:val="002B0E91"/>
    <w:rsid w:val="002B132C"/>
    <w:rsid w:val="002B3F23"/>
    <w:rsid w:val="002B4EB5"/>
    <w:rsid w:val="002B5AF5"/>
    <w:rsid w:val="002B6779"/>
    <w:rsid w:val="002B71C0"/>
    <w:rsid w:val="002B7A34"/>
    <w:rsid w:val="002C31AD"/>
    <w:rsid w:val="002C7385"/>
    <w:rsid w:val="002D2DBB"/>
    <w:rsid w:val="002D37D8"/>
    <w:rsid w:val="002D54A6"/>
    <w:rsid w:val="002E3779"/>
    <w:rsid w:val="002E5BF9"/>
    <w:rsid w:val="002E64C1"/>
    <w:rsid w:val="002E6A7A"/>
    <w:rsid w:val="002F1E49"/>
    <w:rsid w:val="002F4E9C"/>
    <w:rsid w:val="002F6E15"/>
    <w:rsid w:val="00302F4E"/>
    <w:rsid w:val="003036D4"/>
    <w:rsid w:val="00305AED"/>
    <w:rsid w:val="0031256C"/>
    <w:rsid w:val="00314D6C"/>
    <w:rsid w:val="00316D2A"/>
    <w:rsid w:val="00322A7C"/>
    <w:rsid w:val="00322EEC"/>
    <w:rsid w:val="00323061"/>
    <w:rsid w:val="003402D3"/>
    <w:rsid w:val="0034068E"/>
    <w:rsid w:val="00343ABC"/>
    <w:rsid w:val="003463FE"/>
    <w:rsid w:val="003472FC"/>
    <w:rsid w:val="00347D41"/>
    <w:rsid w:val="003503CB"/>
    <w:rsid w:val="003513FA"/>
    <w:rsid w:val="00352B81"/>
    <w:rsid w:val="003554B3"/>
    <w:rsid w:val="00356632"/>
    <w:rsid w:val="00357C7E"/>
    <w:rsid w:val="003653B6"/>
    <w:rsid w:val="00370327"/>
    <w:rsid w:val="00374CC4"/>
    <w:rsid w:val="003756E4"/>
    <w:rsid w:val="00375791"/>
    <w:rsid w:val="00377358"/>
    <w:rsid w:val="003774B2"/>
    <w:rsid w:val="00380F2D"/>
    <w:rsid w:val="003845A9"/>
    <w:rsid w:val="003850C9"/>
    <w:rsid w:val="00390883"/>
    <w:rsid w:val="003922F8"/>
    <w:rsid w:val="00395B24"/>
    <w:rsid w:val="003A2D38"/>
    <w:rsid w:val="003A7ECC"/>
    <w:rsid w:val="003B2C72"/>
    <w:rsid w:val="003B4BBD"/>
    <w:rsid w:val="003B58B4"/>
    <w:rsid w:val="003C1333"/>
    <w:rsid w:val="003C20FF"/>
    <w:rsid w:val="003C4FEF"/>
    <w:rsid w:val="003C550A"/>
    <w:rsid w:val="003C6055"/>
    <w:rsid w:val="003D2650"/>
    <w:rsid w:val="003D3420"/>
    <w:rsid w:val="003D4DAD"/>
    <w:rsid w:val="003D560C"/>
    <w:rsid w:val="003D5C00"/>
    <w:rsid w:val="003E3154"/>
    <w:rsid w:val="003E5874"/>
    <w:rsid w:val="003E72D3"/>
    <w:rsid w:val="003F193E"/>
    <w:rsid w:val="003F242C"/>
    <w:rsid w:val="003F34F1"/>
    <w:rsid w:val="003F564A"/>
    <w:rsid w:val="003F7D55"/>
    <w:rsid w:val="004031D8"/>
    <w:rsid w:val="00406546"/>
    <w:rsid w:val="004104B6"/>
    <w:rsid w:val="00411AE8"/>
    <w:rsid w:val="00413B74"/>
    <w:rsid w:val="004342F3"/>
    <w:rsid w:val="00435C5F"/>
    <w:rsid w:val="00436155"/>
    <w:rsid w:val="00436460"/>
    <w:rsid w:val="00441E98"/>
    <w:rsid w:val="00450F3A"/>
    <w:rsid w:val="004532F7"/>
    <w:rsid w:val="00464D51"/>
    <w:rsid w:val="00472027"/>
    <w:rsid w:val="004804CF"/>
    <w:rsid w:val="00483314"/>
    <w:rsid w:val="00484962"/>
    <w:rsid w:val="00484F6D"/>
    <w:rsid w:val="00484FB7"/>
    <w:rsid w:val="0048554D"/>
    <w:rsid w:val="0049338A"/>
    <w:rsid w:val="0049417F"/>
    <w:rsid w:val="00496D41"/>
    <w:rsid w:val="004A6602"/>
    <w:rsid w:val="004B3EFA"/>
    <w:rsid w:val="004B742D"/>
    <w:rsid w:val="004C2A87"/>
    <w:rsid w:val="004C4D7B"/>
    <w:rsid w:val="004C4ED3"/>
    <w:rsid w:val="004C667B"/>
    <w:rsid w:val="004C7ECD"/>
    <w:rsid w:val="004D2EA5"/>
    <w:rsid w:val="004D32A6"/>
    <w:rsid w:val="004D53E5"/>
    <w:rsid w:val="004D7950"/>
    <w:rsid w:val="004E604C"/>
    <w:rsid w:val="004E6DC4"/>
    <w:rsid w:val="004F1D05"/>
    <w:rsid w:val="004F21C1"/>
    <w:rsid w:val="004F56A7"/>
    <w:rsid w:val="00501A12"/>
    <w:rsid w:val="0050309C"/>
    <w:rsid w:val="00511E54"/>
    <w:rsid w:val="0051327C"/>
    <w:rsid w:val="0051346D"/>
    <w:rsid w:val="00513EAE"/>
    <w:rsid w:val="0051434F"/>
    <w:rsid w:val="00516806"/>
    <w:rsid w:val="0052098C"/>
    <w:rsid w:val="00521B1C"/>
    <w:rsid w:val="00521E05"/>
    <w:rsid w:val="00525A49"/>
    <w:rsid w:val="005262D1"/>
    <w:rsid w:val="00530876"/>
    <w:rsid w:val="00535613"/>
    <w:rsid w:val="005359EB"/>
    <w:rsid w:val="0054254A"/>
    <w:rsid w:val="0054500B"/>
    <w:rsid w:val="005466B5"/>
    <w:rsid w:val="00554314"/>
    <w:rsid w:val="00562829"/>
    <w:rsid w:val="005629B3"/>
    <w:rsid w:val="005639BB"/>
    <w:rsid w:val="0057128A"/>
    <w:rsid w:val="005724F6"/>
    <w:rsid w:val="00573AC4"/>
    <w:rsid w:val="00573AD3"/>
    <w:rsid w:val="005801FC"/>
    <w:rsid w:val="00585BA9"/>
    <w:rsid w:val="00587359"/>
    <w:rsid w:val="00595016"/>
    <w:rsid w:val="00597AAE"/>
    <w:rsid w:val="005A222C"/>
    <w:rsid w:val="005A3DF8"/>
    <w:rsid w:val="005A4DF8"/>
    <w:rsid w:val="005A78C8"/>
    <w:rsid w:val="005B1426"/>
    <w:rsid w:val="005B3A0C"/>
    <w:rsid w:val="005B69F5"/>
    <w:rsid w:val="005C0A8E"/>
    <w:rsid w:val="005C1767"/>
    <w:rsid w:val="005C185C"/>
    <w:rsid w:val="005C42EF"/>
    <w:rsid w:val="005C7F6B"/>
    <w:rsid w:val="005D642C"/>
    <w:rsid w:val="005E02F5"/>
    <w:rsid w:val="005E0510"/>
    <w:rsid w:val="005E176E"/>
    <w:rsid w:val="005E218E"/>
    <w:rsid w:val="005E35A0"/>
    <w:rsid w:val="005F0D1B"/>
    <w:rsid w:val="005F1865"/>
    <w:rsid w:val="006007BD"/>
    <w:rsid w:val="006013C8"/>
    <w:rsid w:val="0060270D"/>
    <w:rsid w:val="00604342"/>
    <w:rsid w:val="00604611"/>
    <w:rsid w:val="00611586"/>
    <w:rsid w:val="00612CB9"/>
    <w:rsid w:val="00612D26"/>
    <w:rsid w:val="00615855"/>
    <w:rsid w:val="00620DA8"/>
    <w:rsid w:val="00621887"/>
    <w:rsid w:val="00624520"/>
    <w:rsid w:val="006271F5"/>
    <w:rsid w:val="00632300"/>
    <w:rsid w:val="00632BB7"/>
    <w:rsid w:val="00635B36"/>
    <w:rsid w:val="00636871"/>
    <w:rsid w:val="00640EE1"/>
    <w:rsid w:val="00640F4E"/>
    <w:rsid w:val="00643DE0"/>
    <w:rsid w:val="00644087"/>
    <w:rsid w:val="0064437D"/>
    <w:rsid w:val="00644E85"/>
    <w:rsid w:val="006516D8"/>
    <w:rsid w:val="00652C52"/>
    <w:rsid w:val="0065661C"/>
    <w:rsid w:val="0066063F"/>
    <w:rsid w:val="00662BB0"/>
    <w:rsid w:val="00663878"/>
    <w:rsid w:val="00667773"/>
    <w:rsid w:val="00670743"/>
    <w:rsid w:val="00680A85"/>
    <w:rsid w:val="00681ADF"/>
    <w:rsid w:val="00690EE2"/>
    <w:rsid w:val="00693854"/>
    <w:rsid w:val="00694BEB"/>
    <w:rsid w:val="006A0E20"/>
    <w:rsid w:val="006A24E3"/>
    <w:rsid w:val="006A5695"/>
    <w:rsid w:val="006B0439"/>
    <w:rsid w:val="006B3904"/>
    <w:rsid w:val="006B5B7D"/>
    <w:rsid w:val="006C5B46"/>
    <w:rsid w:val="006C6E39"/>
    <w:rsid w:val="006D0ECF"/>
    <w:rsid w:val="006D3D5B"/>
    <w:rsid w:val="006D4C92"/>
    <w:rsid w:val="006D4EB6"/>
    <w:rsid w:val="006D7FBC"/>
    <w:rsid w:val="006E35BF"/>
    <w:rsid w:val="006E7850"/>
    <w:rsid w:val="006F19D8"/>
    <w:rsid w:val="006F46D6"/>
    <w:rsid w:val="006F4BBB"/>
    <w:rsid w:val="006F6643"/>
    <w:rsid w:val="007028D9"/>
    <w:rsid w:val="00705A97"/>
    <w:rsid w:val="0070717C"/>
    <w:rsid w:val="00707218"/>
    <w:rsid w:val="00710D04"/>
    <w:rsid w:val="00712B1D"/>
    <w:rsid w:val="00715751"/>
    <w:rsid w:val="007171BA"/>
    <w:rsid w:val="00717616"/>
    <w:rsid w:val="007232A0"/>
    <w:rsid w:val="007325D9"/>
    <w:rsid w:val="0073413F"/>
    <w:rsid w:val="0073583B"/>
    <w:rsid w:val="007360CA"/>
    <w:rsid w:val="0074667B"/>
    <w:rsid w:val="007470BD"/>
    <w:rsid w:val="007472BF"/>
    <w:rsid w:val="00760EC0"/>
    <w:rsid w:val="007711BD"/>
    <w:rsid w:val="007751B4"/>
    <w:rsid w:val="0078003A"/>
    <w:rsid w:val="00780771"/>
    <w:rsid w:val="007929CF"/>
    <w:rsid w:val="00797BA8"/>
    <w:rsid w:val="007A081D"/>
    <w:rsid w:val="007A49E7"/>
    <w:rsid w:val="007A6F28"/>
    <w:rsid w:val="007B03C6"/>
    <w:rsid w:val="007B0DB1"/>
    <w:rsid w:val="007B5673"/>
    <w:rsid w:val="007B7238"/>
    <w:rsid w:val="007B76FF"/>
    <w:rsid w:val="007C3BF6"/>
    <w:rsid w:val="007C5347"/>
    <w:rsid w:val="007C67B3"/>
    <w:rsid w:val="007D0FD2"/>
    <w:rsid w:val="007D2EF8"/>
    <w:rsid w:val="007D561F"/>
    <w:rsid w:val="007D7FD2"/>
    <w:rsid w:val="007E13D9"/>
    <w:rsid w:val="007E2AEC"/>
    <w:rsid w:val="007E41BE"/>
    <w:rsid w:val="007E4DB6"/>
    <w:rsid w:val="007E6733"/>
    <w:rsid w:val="007E7CD4"/>
    <w:rsid w:val="007F12AC"/>
    <w:rsid w:val="007F4501"/>
    <w:rsid w:val="007F60DF"/>
    <w:rsid w:val="00801800"/>
    <w:rsid w:val="00801861"/>
    <w:rsid w:val="00801B5B"/>
    <w:rsid w:val="00805A30"/>
    <w:rsid w:val="00810528"/>
    <w:rsid w:val="0081366A"/>
    <w:rsid w:val="008216E7"/>
    <w:rsid w:val="00824B97"/>
    <w:rsid w:val="00825BE6"/>
    <w:rsid w:val="008276B4"/>
    <w:rsid w:val="00831927"/>
    <w:rsid w:val="00837288"/>
    <w:rsid w:val="00841BD3"/>
    <w:rsid w:val="0084273D"/>
    <w:rsid w:val="00844E3F"/>
    <w:rsid w:val="00845A83"/>
    <w:rsid w:val="00846BB9"/>
    <w:rsid w:val="00862D29"/>
    <w:rsid w:val="008649D5"/>
    <w:rsid w:val="00867D0B"/>
    <w:rsid w:val="008712BB"/>
    <w:rsid w:val="00872D57"/>
    <w:rsid w:val="008830E7"/>
    <w:rsid w:val="00890EDE"/>
    <w:rsid w:val="00892B38"/>
    <w:rsid w:val="008A1741"/>
    <w:rsid w:val="008A2484"/>
    <w:rsid w:val="008A52F3"/>
    <w:rsid w:val="008C26D9"/>
    <w:rsid w:val="008C6D50"/>
    <w:rsid w:val="008C7167"/>
    <w:rsid w:val="008C7503"/>
    <w:rsid w:val="008D1617"/>
    <w:rsid w:val="008D2F58"/>
    <w:rsid w:val="008D330F"/>
    <w:rsid w:val="008D48C1"/>
    <w:rsid w:val="008E2B16"/>
    <w:rsid w:val="008E6315"/>
    <w:rsid w:val="008E7D71"/>
    <w:rsid w:val="008F0480"/>
    <w:rsid w:val="008F07FC"/>
    <w:rsid w:val="008F11E0"/>
    <w:rsid w:val="008F3EA7"/>
    <w:rsid w:val="008F78BC"/>
    <w:rsid w:val="008F7B63"/>
    <w:rsid w:val="008F7D6A"/>
    <w:rsid w:val="00901C86"/>
    <w:rsid w:val="00903603"/>
    <w:rsid w:val="009054CB"/>
    <w:rsid w:val="00911F8D"/>
    <w:rsid w:val="00912F94"/>
    <w:rsid w:val="009171BC"/>
    <w:rsid w:val="009242CC"/>
    <w:rsid w:val="0092497E"/>
    <w:rsid w:val="0092590B"/>
    <w:rsid w:val="00925BF3"/>
    <w:rsid w:val="00925E60"/>
    <w:rsid w:val="009264B3"/>
    <w:rsid w:val="00931E4C"/>
    <w:rsid w:val="0093464D"/>
    <w:rsid w:val="009365E0"/>
    <w:rsid w:val="00942BA2"/>
    <w:rsid w:val="009432B7"/>
    <w:rsid w:val="00944C86"/>
    <w:rsid w:val="00947C02"/>
    <w:rsid w:val="00950BE6"/>
    <w:rsid w:val="00957DE8"/>
    <w:rsid w:val="00960ECB"/>
    <w:rsid w:val="009615D6"/>
    <w:rsid w:val="00967855"/>
    <w:rsid w:val="00971CD1"/>
    <w:rsid w:val="00973FF5"/>
    <w:rsid w:val="00974709"/>
    <w:rsid w:val="009801AE"/>
    <w:rsid w:val="00980736"/>
    <w:rsid w:val="00981A39"/>
    <w:rsid w:val="00982D56"/>
    <w:rsid w:val="00983DBF"/>
    <w:rsid w:val="00987097"/>
    <w:rsid w:val="00991123"/>
    <w:rsid w:val="00991CAB"/>
    <w:rsid w:val="00995B77"/>
    <w:rsid w:val="009A3A9C"/>
    <w:rsid w:val="009B046C"/>
    <w:rsid w:val="009B13FA"/>
    <w:rsid w:val="009B1E2D"/>
    <w:rsid w:val="009C18BD"/>
    <w:rsid w:val="009C59FB"/>
    <w:rsid w:val="009C6F3B"/>
    <w:rsid w:val="009C7E61"/>
    <w:rsid w:val="009D1467"/>
    <w:rsid w:val="009D328D"/>
    <w:rsid w:val="009E4FA6"/>
    <w:rsid w:val="009E7D93"/>
    <w:rsid w:val="009F3C34"/>
    <w:rsid w:val="009F462C"/>
    <w:rsid w:val="009F5C33"/>
    <w:rsid w:val="00A026F0"/>
    <w:rsid w:val="00A03EAC"/>
    <w:rsid w:val="00A04DBB"/>
    <w:rsid w:val="00A07EA0"/>
    <w:rsid w:val="00A11CA6"/>
    <w:rsid w:val="00A20C49"/>
    <w:rsid w:val="00A21BCF"/>
    <w:rsid w:val="00A22932"/>
    <w:rsid w:val="00A269CA"/>
    <w:rsid w:val="00A336EE"/>
    <w:rsid w:val="00A33F46"/>
    <w:rsid w:val="00A3427E"/>
    <w:rsid w:val="00A359AC"/>
    <w:rsid w:val="00A40F83"/>
    <w:rsid w:val="00A410FB"/>
    <w:rsid w:val="00A412B6"/>
    <w:rsid w:val="00A41413"/>
    <w:rsid w:val="00A431E6"/>
    <w:rsid w:val="00A436E8"/>
    <w:rsid w:val="00A45FB1"/>
    <w:rsid w:val="00A46A0F"/>
    <w:rsid w:val="00A46CCC"/>
    <w:rsid w:val="00A47996"/>
    <w:rsid w:val="00A51CFE"/>
    <w:rsid w:val="00A5204D"/>
    <w:rsid w:val="00A55896"/>
    <w:rsid w:val="00A56E77"/>
    <w:rsid w:val="00A61605"/>
    <w:rsid w:val="00A65F97"/>
    <w:rsid w:val="00A73B04"/>
    <w:rsid w:val="00A76C13"/>
    <w:rsid w:val="00A8152B"/>
    <w:rsid w:val="00A84FD0"/>
    <w:rsid w:val="00A92E79"/>
    <w:rsid w:val="00A94789"/>
    <w:rsid w:val="00A950B6"/>
    <w:rsid w:val="00A95D45"/>
    <w:rsid w:val="00AA3EA8"/>
    <w:rsid w:val="00AB3963"/>
    <w:rsid w:val="00AB41C1"/>
    <w:rsid w:val="00AB4CF2"/>
    <w:rsid w:val="00AB52D7"/>
    <w:rsid w:val="00AB6CCA"/>
    <w:rsid w:val="00AC223F"/>
    <w:rsid w:val="00AC33B1"/>
    <w:rsid w:val="00AD12A8"/>
    <w:rsid w:val="00AE023F"/>
    <w:rsid w:val="00AF3577"/>
    <w:rsid w:val="00AF35F9"/>
    <w:rsid w:val="00B0424C"/>
    <w:rsid w:val="00B0518C"/>
    <w:rsid w:val="00B05C7D"/>
    <w:rsid w:val="00B05CA9"/>
    <w:rsid w:val="00B15553"/>
    <w:rsid w:val="00B15D57"/>
    <w:rsid w:val="00B16347"/>
    <w:rsid w:val="00B17D6E"/>
    <w:rsid w:val="00B22308"/>
    <w:rsid w:val="00B2435E"/>
    <w:rsid w:val="00B346C3"/>
    <w:rsid w:val="00B4005C"/>
    <w:rsid w:val="00B4227E"/>
    <w:rsid w:val="00B4471C"/>
    <w:rsid w:val="00B451A6"/>
    <w:rsid w:val="00B56D6E"/>
    <w:rsid w:val="00B60D3A"/>
    <w:rsid w:val="00B64347"/>
    <w:rsid w:val="00B65DC6"/>
    <w:rsid w:val="00B67AC2"/>
    <w:rsid w:val="00B722DE"/>
    <w:rsid w:val="00B751E3"/>
    <w:rsid w:val="00B75BA6"/>
    <w:rsid w:val="00B76C44"/>
    <w:rsid w:val="00B8184A"/>
    <w:rsid w:val="00B82283"/>
    <w:rsid w:val="00B828D8"/>
    <w:rsid w:val="00B83F87"/>
    <w:rsid w:val="00B87CDC"/>
    <w:rsid w:val="00B910C1"/>
    <w:rsid w:val="00BA2CA4"/>
    <w:rsid w:val="00BA2EFA"/>
    <w:rsid w:val="00BA3DBC"/>
    <w:rsid w:val="00BA707A"/>
    <w:rsid w:val="00BB1AFB"/>
    <w:rsid w:val="00BB1C16"/>
    <w:rsid w:val="00BB27AE"/>
    <w:rsid w:val="00BB2DA2"/>
    <w:rsid w:val="00BB56DC"/>
    <w:rsid w:val="00BC14B2"/>
    <w:rsid w:val="00BE183D"/>
    <w:rsid w:val="00BE48F4"/>
    <w:rsid w:val="00BF1806"/>
    <w:rsid w:val="00BF24C2"/>
    <w:rsid w:val="00BF2922"/>
    <w:rsid w:val="00BF5D7A"/>
    <w:rsid w:val="00C01C2E"/>
    <w:rsid w:val="00C02D33"/>
    <w:rsid w:val="00C04B53"/>
    <w:rsid w:val="00C1232C"/>
    <w:rsid w:val="00C241F2"/>
    <w:rsid w:val="00C27C6B"/>
    <w:rsid w:val="00C34466"/>
    <w:rsid w:val="00C3594D"/>
    <w:rsid w:val="00C36442"/>
    <w:rsid w:val="00C400CE"/>
    <w:rsid w:val="00C410FD"/>
    <w:rsid w:val="00C41396"/>
    <w:rsid w:val="00C457DE"/>
    <w:rsid w:val="00C47DD3"/>
    <w:rsid w:val="00C5316F"/>
    <w:rsid w:val="00C53562"/>
    <w:rsid w:val="00C539FB"/>
    <w:rsid w:val="00C66AA3"/>
    <w:rsid w:val="00C66E57"/>
    <w:rsid w:val="00C724D7"/>
    <w:rsid w:val="00C74150"/>
    <w:rsid w:val="00C75594"/>
    <w:rsid w:val="00C760A6"/>
    <w:rsid w:val="00C85982"/>
    <w:rsid w:val="00C86577"/>
    <w:rsid w:val="00C86D12"/>
    <w:rsid w:val="00CA0466"/>
    <w:rsid w:val="00CA246D"/>
    <w:rsid w:val="00CA50D9"/>
    <w:rsid w:val="00CB3054"/>
    <w:rsid w:val="00CB5636"/>
    <w:rsid w:val="00CB5F30"/>
    <w:rsid w:val="00CC32F2"/>
    <w:rsid w:val="00CC3EE5"/>
    <w:rsid w:val="00CC6E47"/>
    <w:rsid w:val="00CD1346"/>
    <w:rsid w:val="00CE425C"/>
    <w:rsid w:val="00CE58AC"/>
    <w:rsid w:val="00CF5A80"/>
    <w:rsid w:val="00D045EE"/>
    <w:rsid w:val="00D05091"/>
    <w:rsid w:val="00D0674C"/>
    <w:rsid w:val="00D10CA6"/>
    <w:rsid w:val="00D10F21"/>
    <w:rsid w:val="00D134CF"/>
    <w:rsid w:val="00D1573B"/>
    <w:rsid w:val="00D2244B"/>
    <w:rsid w:val="00D24806"/>
    <w:rsid w:val="00D33AB6"/>
    <w:rsid w:val="00D34040"/>
    <w:rsid w:val="00D34E69"/>
    <w:rsid w:val="00D36C78"/>
    <w:rsid w:val="00D375EE"/>
    <w:rsid w:val="00D37C76"/>
    <w:rsid w:val="00D47156"/>
    <w:rsid w:val="00D55AE8"/>
    <w:rsid w:val="00D56056"/>
    <w:rsid w:val="00D6085F"/>
    <w:rsid w:val="00D62699"/>
    <w:rsid w:val="00D62DBC"/>
    <w:rsid w:val="00D778E9"/>
    <w:rsid w:val="00D812BF"/>
    <w:rsid w:val="00D82620"/>
    <w:rsid w:val="00D85707"/>
    <w:rsid w:val="00D90E2D"/>
    <w:rsid w:val="00D9696F"/>
    <w:rsid w:val="00D9725F"/>
    <w:rsid w:val="00DA01B1"/>
    <w:rsid w:val="00DA11A2"/>
    <w:rsid w:val="00DA14ED"/>
    <w:rsid w:val="00DA26D6"/>
    <w:rsid w:val="00DB2EF1"/>
    <w:rsid w:val="00DB3DE1"/>
    <w:rsid w:val="00DB5DA0"/>
    <w:rsid w:val="00DB716C"/>
    <w:rsid w:val="00DC4CFC"/>
    <w:rsid w:val="00DC5C85"/>
    <w:rsid w:val="00DC7C5D"/>
    <w:rsid w:val="00DD4236"/>
    <w:rsid w:val="00DD44F1"/>
    <w:rsid w:val="00DD6957"/>
    <w:rsid w:val="00DD6E7A"/>
    <w:rsid w:val="00DE3067"/>
    <w:rsid w:val="00DF000F"/>
    <w:rsid w:val="00DF3EEE"/>
    <w:rsid w:val="00DF75E1"/>
    <w:rsid w:val="00E027BC"/>
    <w:rsid w:val="00E045BE"/>
    <w:rsid w:val="00E10F0D"/>
    <w:rsid w:val="00E14EA5"/>
    <w:rsid w:val="00E2070E"/>
    <w:rsid w:val="00E21133"/>
    <w:rsid w:val="00E2327E"/>
    <w:rsid w:val="00E23577"/>
    <w:rsid w:val="00E266EF"/>
    <w:rsid w:val="00E326A8"/>
    <w:rsid w:val="00E47428"/>
    <w:rsid w:val="00E56C8E"/>
    <w:rsid w:val="00E5716B"/>
    <w:rsid w:val="00E57F1F"/>
    <w:rsid w:val="00E66766"/>
    <w:rsid w:val="00E66B9F"/>
    <w:rsid w:val="00E70A6A"/>
    <w:rsid w:val="00E710D6"/>
    <w:rsid w:val="00E73DA4"/>
    <w:rsid w:val="00E75A52"/>
    <w:rsid w:val="00E75EEE"/>
    <w:rsid w:val="00E76E45"/>
    <w:rsid w:val="00E777C9"/>
    <w:rsid w:val="00E81DA6"/>
    <w:rsid w:val="00E84212"/>
    <w:rsid w:val="00E901DA"/>
    <w:rsid w:val="00E9086C"/>
    <w:rsid w:val="00E90AAA"/>
    <w:rsid w:val="00E91A0F"/>
    <w:rsid w:val="00E94A71"/>
    <w:rsid w:val="00E94CBF"/>
    <w:rsid w:val="00EA03CE"/>
    <w:rsid w:val="00EA23E5"/>
    <w:rsid w:val="00EA4E2E"/>
    <w:rsid w:val="00EB2417"/>
    <w:rsid w:val="00EB2CCB"/>
    <w:rsid w:val="00EB7A25"/>
    <w:rsid w:val="00EC0F3E"/>
    <w:rsid w:val="00EC3B8B"/>
    <w:rsid w:val="00EC57A7"/>
    <w:rsid w:val="00ED0817"/>
    <w:rsid w:val="00ED7DD9"/>
    <w:rsid w:val="00ED7EB6"/>
    <w:rsid w:val="00EE445B"/>
    <w:rsid w:val="00EF3113"/>
    <w:rsid w:val="00EF3F84"/>
    <w:rsid w:val="00F0000D"/>
    <w:rsid w:val="00F10830"/>
    <w:rsid w:val="00F176AC"/>
    <w:rsid w:val="00F214C8"/>
    <w:rsid w:val="00F26F28"/>
    <w:rsid w:val="00F27714"/>
    <w:rsid w:val="00F3276E"/>
    <w:rsid w:val="00F33D3C"/>
    <w:rsid w:val="00F37A91"/>
    <w:rsid w:val="00F408A0"/>
    <w:rsid w:val="00F45CF5"/>
    <w:rsid w:val="00F47DB0"/>
    <w:rsid w:val="00F50C3F"/>
    <w:rsid w:val="00F50E34"/>
    <w:rsid w:val="00F51AFB"/>
    <w:rsid w:val="00F53EF7"/>
    <w:rsid w:val="00F54BF2"/>
    <w:rsid w:val="00F568DD"/>
    <w:rsid w:val="00F67BC1"/>
    <w:rsid w:val="00F775AC"/>
    <w:rsid w:val="00F8792F"/>
    <w:rsid w:val="00F9214D"/>
    <w:rsid w:val="00F92355"/>
    <w:rsid w:val="00F93963"/>
    <w:rsid w:val="00F94291"/>
    <w:rsid w:val="00FA298A"/>
    <w:rsid w:val="00FA5B66"/>
    <w:rsid w:val="00FB0B9C"/>
    <w:rsid w:val="00FB1087"/>
    <w:rsid w:val="00FB30EB"/>
    <w:rsid w:val="00FB7982"/>
    <w:rsid w:val="00FC0734"/>
    <w:rsid w:val="00FC0FC5"/>
    <w:rsid w:val="00FC588F"/>
    <w:rsid w:val="00FC6879"/>
    <w:rsid w:val="00FD43C2"/>
    <w:rsid w:val="00FD57CC"/>
    <w:rsid w:val="00FE1B30"/>
    <w:rsid w:val="00FE7B44"/>
    <w:rsid w:val="00FF1BD9"/>
    <w:rsid w:val="00FF218B"/>
    <w:rsid w:val="00FF2C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8"/>
    <o:shapelayout v:ext="edit">
      <o:idmap v:ext="edit" data="1"/>
    </o:shapelayout>
  </w:shapeDefaults>
  <w:decimalSymbol w:val="."/>
  <w:listSeparator w:val=","/>
  <w14:docId w14:val="7A223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rsid w:val="001C2FE0"/>
    <w:pPr>
      <w:numPr>
        <w:numId w:val="25"/>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681ADF"/>
    <w:pPr>
      <w:tabs>
        <w:tab w:val="right" w:leader="dot" w:pos="9072"/>
      </w:tabs>
      <w:spacing w:before="120" w:after="60" w:line="240" w:lineRule="auto"/>
      <w:jc w:val="left"/>
    </w:pPr>
    <w:rPr>
      <w:b/>
      <w:caps/>
      <w:kern w:val="28"/>
    </w:rPr>
  </w:style>
  <w:style w:type="paragraph" w:customStyle="1" w:styleId="ListNo1">
    <w:name w:val="List No 1"/>
    <w:basedOn w:val="Normal"/>
    <w:rsid w:val="0052098C"/>
    <w:pPr>
      <w:numPr>
        <w:numId w:val="22"/>
      </w:numPr>
      <w:spacing w:before="60" w:after="60"/>
    </w:pPr>
  </w:style>
  <w:style w:type="paragraph" w:customStyle="1" w:styleId="FTOC2">
    <w:name w:val="FTOC 2"/>
    <w:basedOn w:val="Normal"/>
    <w:semiHidden/>
    <w:rsid w:val="00681ADF"/>
    <w:pPr>
      <w:tabs>
        <w:tab w:val="right" w:leader="dot" w:pos="9072"/>
      </w:tabs>
      <w:spacing w:before="120" w:after="60" w:line="240" w:lineRule="auto"/>
      <w:ind w:left="238"/>
      <w:jc w:val="left"/>
    </w:pPr>
    <w:rPr>
      <w:b/>
    </w:rPr>
  </w:style>
  <w:style w:type="paragraph" w:customStyle="1" w:styleId="FTOC3">
    <w:name w:val="FTOC 3"/>
    <w:basedOn w:val="Normal"/>
    <w:semiHidden/>
    <w:rsid w:val="00681ADF"/>
    <w:pPr>
      <w:tabs>
        <w:tab w:val="right" w:leader="dot" w:pos="9072"/>
      </w:tabs>
      <w:spacing w:before="120" w:after="60" w:line="240" w:lineRule="auto"/>
      <w:ind w:left="482"/>
      <w:jc w:val="left"/>
    </w:pPr>
    <w:rPr>
      <w:b/>
      <w:i/>
    </w:rPr>
  </w:style>
  <w:style w:type="paragraph" w:customStyle="1" w:styleId="FTOC4">
    <w:name w:val="FTOC 4"/>
    <w:basedOn w:val="Normal"/>
    <w:semiHidden/>
    <w:rsid w:val="00681ADF"/>
    <w:pPr>
      <w:tabs>
        <w:tab w:val="right" w:leader="dot" w:pos="9072"/>
      </w:tabs>
      <w:spacing w:before="120" w:after="60" w:line="240" w:lineRule="auto"/>
      <w:ind w:left="720"/>
      <w:jc w:val="left"/>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2"/>
      </w:numPr>
    </w:pPr>
  </w:style>
  <w:style w:type="numbering" w:styleId="1ai">
    <w:name w:val="Outline List 1"/>
    <w:basedOn w:val="NoList"/>
    <w:semiHidden/>
    <w:pPr>
      <w:numPr>
        <w:numId w:val="13"/>
      </w:numPr>
    </w:pPr>
  </w:style>
  <w:style w:type="numbering" w:styleId="ArticleSection">
    <w:name w:val="Outline List 3"/>
    <w:basedOn w:val="NoList"/>
    <w:semiHidden/>
    <w:pPr>
      <w:numPr>
        <w:numId w:val="14"/>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2"/>
      </w:numPr>
    </w:pPr>
  </w:style>
  <w:style w:type="paragraph" w:styleId="ListBullet2">
    <w:name w:val="List Bullet 2"/>
    <w:basedOn w:val="Normal"/>
    <w:semiHidden/>
    <w:pPr>
      <w:numPr>
        <w:numId w:val="3"/>
      </w:numPr>
    </w:pPr>
  </w:style>
  <w:style w:type="paragraph" w:styleId="ListBullet3">
    <w:name w:val="List Bullet 3"/>
    <w:basedOn w:val="Normal"/>
    <w:semiHidden/>
    <w:pPr>
      <w:numPr>
        <w:numId w:val="4"/>
      </w:numPr>
    </w:pPr>
  </w:style>
  <w:style w:type="paragraph" w:styleId="ListBullet4">
    <w:name w:val="List Bullet 4"/>
    <w:basedOn w:val="Normal"/>
    <w:semiHidden/>
    <w:pPr>
      <w:numPr>
        <w:numId w:val="5"/>
      </w:numPr>
    </w:pPr>
  </w:style>
  <w:style w:type="paragraph" w:styleId="ListBullet5">
    <w:name w:val="List Bullet 5"/>
    <w:basedOn w:val="Normal"/>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link w:val="SubtitleChar"/>
    <w:qFormat/>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rsid w:val="00323061"/>
    <w:pPr>
      <w:spacing w:before="120" w:after="60" w:line="240" w:lineRule="auto"/>
      <w:jc w:val="left"/>
    </w:pPr>
  </w:style>
  <w:style w:type="paragraph" w:customStyle="1" w:styleId="bTOC2">
    <w:name w:val="bTOC 2"/>
    <w:basedOn w:val="TOC2"/>
    <w:semiHidden/>
    <w:rsid w:val="00323061"/>
    <w:pPr>
      <w:spacing w:before="120" w:after="60" w:line="240" w:lineRule="auto"/>
      <w:ind w:left="238"/>
      <w:jc w:val="left"/>
    </w:pPr>
  </w:style>
  <w:style w:type="paragraph" w:customStyle="1" w:styleId="bTOC3">
    <w:name w:val="bTOC 3"/>
    <w:basedOn w:val="TOC3"/>
    <w:semiHidden/>
    <w:rsid w:val="00323061"/>
    <w:pPr>
      <w:spacing w:before="120" w:after="60" w:line="240" w:lineRule="auto"/>
      <w:ind w:left="482"/>
      <w:jc w:val="left"/>
    </w:pPr>
  </w:style>
  <w:style w:type="paragraph" w:customStyle="1" w:styleId="bTOC4">
    <w:name w:val="bTOC 4"/>
    <w:basedOn w:val="TOC4"/>
    <w:semiHidden/>
    <w:rsid w:val="00323061"/>
    <w:pPr>
      <w:spacing w:before="120" w:after="60" w:line="240" w:lineRule="auto"/>
      <w:jc w:val="left"/>
    </w:pPr>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5"/>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5"/>
      </w:numPr>
      <w:spacing w:before="240" w:after="60" w:line="240" w:lineRule="auto"/>
    </w:pPr>
    <w:rPr>
      <w:b/>
    </w:rPr>
  </w:style>
  <w:style w:type="paragraph" w:customStyle="1" w:styleId="fcHeading3">
    <w:name w:val="fcHeading 3"/>
    <w:basedOn w:val="Normal"/>
    <w:next w:val="ParaNumbering"/>
    <w:semiHidden/>
    <w:pPr>
      <w:keepNext/>
      <w:numPr>
        <w:ilvl w:val="2"/>
        <w:numId w:val="15"/>
      </w:numPr>
      <w:spacing w:before="240" w:after="60" w:line="240" w:lineRule="auto"/>
    </w:pPr>
    <w:rPr>
      <w:b/>
      <w:i/>
    </w:rPr>
  </w:style>
  <w:style w:type="paragraph" w:customStyle="1" w:styleId="fcHeading4">
    <w:name w:val="fcHeading 4"/>
    <w:basedOn w:val="Normal"/>
    <w:next w:val="ParaNumbering"/>
    <w:semiHidden/>
    <w:pPr>
      <w:keepNext/>
      <w:numPr>
        <w:ilvl w:val="3"/>
        <w:numId w:val="15"/>
      </w:numPr>
      <w:spacing w:before="240" w:after="60" w:line="240" w:lineRule="auto"/>
    </w:pPr>
    <w:rPr>
      <w:b/>
      <w:smallCaps/>
    </w:rPr>
  </w:style>
  <w:style w:type="paragraph" w:customStyle="1" w:styleId="fcHeading5">
    <w:name w:val="fcHeading 5"/>
    <w:basedOn w:val="Normal"/>
    <w:next w:val="ParaNumbering"/>
    <w:semiHidden/>
    <w:pPr>
      <w:keepNext/>
      <w:numPr>
        <w:ilvl w:val="4"/>
        <w:numId w:val="15"/>
      </w:numPr>
      <w:spacing w:before="240" w:after="60" w:line="240" w:lineRule="auto"/>
    </w:pPr>
    <w:rPr>
      <w:b/>
      <w:caps/>
    </w:rPr>
  </w:style>
  <w:style w:type="paragraph" w:customStyle="1" w:styleId="FTOC5">
    <w:name w:val="FTOC 5"/>
    <w:basedOn w:val="Normal"/>
    <w:semiHidden/>
    <w:rsid w:val="006516D8"/>
    <w:pPr>
      <w:tabs>
        <w:tab w:val="right" w:leader="dot" w:pos="9072"/>
      </w:tabs>
      <w:spacing w:before="120" w:after="60" w:line="240" w:lineRule="auto"/>
      <w:ind w:left="567" w:hanging="567"/>
      <w:jc w:val="left"/>
    </w:pPr>
    <w:rPr>
      <w:b/>
      <w:kern w:val="28"/>
    </w:rPr>
  </w:style>
  <w:style w:type="paragraph" w:customStyle="1" w:styleId="FTOC6">
    <w:name w:val="FTOC 6"/>
    <w:basedOn w:val="Normal"/>
    <w:semiHidden/>
    <w:rsid w:val="006516D8"/>
    <w:pPr>
      <w:tabs>
        <w:tab w:val="right" w:leader="dot" w:pos="9072"/>
      </w:tabs>
      <w:spacing w:before="120" w:after="60" w:line="240" w:lineRule="auto"/>
      <w:ind w:left="1304" w:hanging="737"/>
      <w:jc w:val="left"/>
    </w:pPr>
    <w:rPr>
      <w:b/>
    </w:rPr>
  </w:style>
  <w:style w:type="paragraph" w:customStyle="1" w:styleId="FTOC7">
    <w:name w:val="FTOC 7"/>
    <w:basedOn w:val="Normal"/>
    <w:semiHidden/>
    <w:rsid w:val="006516D8"/>
    <w:pPr>
      <w:tabs>
        <w:tab w:val="right" w:leader="dot" w:pos="9072"/>
      </w:tabs>
      <w:spacing w:before="120" w:after="60" w:line="240" w:lineRule="auto"/>
      <w:ind w:left="2325" w:hanging="1021"/>
      <w:jc w:val="left"/>
    </w:pPr>
    <w:rPr>
      <w:b/>
    </w:rPr>
  </w:style>
  <w:style w:type="paragraph" w:customStyle="1" w:styleId="FTOC8">
    <w:name w:val="FTOC 8"/>
    <w:basedOn w:val="Normal"/>
    <w:semiHidden/>
    <w:rsid w:val="006516D8"/>
    <w:pPr>
      <w:tabs>
        <w:tab w:val="right" w:leader="dot" w:pos="9072"/>
      </w:tabs>
      <w:spacing w:before="120" w:after="60" w:line="240" w:lineRule="auto"/>
      <w:ind w:left="3232" w:hanging="1418"/>
      <w:jc w:val="left"/>
    </w:pPr>
    <w:rPr>
      <w:b/>
    </w:rPr>
  </w:style>
  <w:style w:type="paragraph" w:customStyle="1" w:styleId="FTOC9">
    <w:name w:val="FTOC 9"/>
    <w:basedOn w:val="Normal"/>
    <w:semiHidden/>
    <w:rsid w:val="006516D8"/>
    <w:pPr>
      <w:tabs>
        <w:tab w:val="right" w:leader="dot" w:pos="9072"/>
      </w:tabs>
      <w:spacing w:before="120" w:after="60" w:line="240" w:lineRule="auto"/>
      <w:ind w:left="4082" w:hanging="1701"/>
      <w:jc w:val="left"/>
    </w:pPr>
    <w:rPr>
      <w:b/>
    </w:rPr>
  </w:style>
  <w:style w:type="paragraph" w:customStyle="1" w:styleId="bTOC5">
    <w:name w:val="bTOC 5"/>
    <w:basedOn w:val="Normal"/>
    <w:semiHidden/>
    <w:rsid w:val="00323061"/>
    <w:pPr>
      <w:tabs>
        <w:tab w:val="right" w:leader="dot" w:pos="9072"/>
      </w:tabs>
      <w:spacing w:before="120" w:after="60" w:line="240" w:lineRule="auto"/>
      <w:ind w:left="709" w:hanging="709"/>
      <w:jc w:val="left"/>
    </w:pPr>
  </w:style>
  <w:style w:type="paragraph" w:customStyle="1" w:styleId="bTOC6">
    <w:name w:val="bTOC 6"/>
    <w:basedOn w:val="Normal"/>
    <w:semiHidden/>
    <w:rsid w:val="00323061"/>
    <w:pPr>
      <w:tabs>
        <w:tab w:val="right" w:leader="dot" w:pos="9072"/>
      </w:tabs>
      <w:spacing w:before="120" w:after="60" w:line="240" w:lineRule="auto"/>
      <w:ind w:left="1418" w:hanging="709"/>
      <w:jc w:val="left"/>
    </w:pPr>
  </w:style>
  <w:style w:type="paragraph" w:customStyle="1" w:styleId="bTOC7">
    <w:name w:val="bTOC 7"/>
    <w:basedOn w:val="Normal"/>
    <w:semiHidden/>
    <w:rsid w:val="00F51AFB"/>
    <w:pPr>
      <w:tabs>
        <w:tab w:val="right" w:leader="dot" w:pos="9072"/>
      </w:tabs>
      <w:spacing w:before="120" w:after="60" w:line="240" w:lineRule="auto"/>
      <w:ind w:left="2240" w:hanging="822"/>
      <w:jc w:val="left"/>
    </w:pPr>
  </w:style>
  <w:style w:type="paragraph" w:customStyle="1" w:styleId="bTOC8">
    <w:name w:val="bTOC 8"/>
    <w:basedOn w:val="Normal"/>
    <w:semiHidden/>
    <w:rsid w:val="00F51AFB"/>
    <w:pPr>
      <w:keepNext/>
      <w:tabs>
        <w:tab w:val="right" w:leader="dot" w:pos="9072"/>
      </w:tabs>
      <w:spacing w:before="120" w:after="60" w:line="240" w:lineRule="auto"/>
      <w:ind w:left="3373" w:hanging="1247"/>
      <w:jc w:val="left"/>
    </w:pPr>
  </w:style>
  <w:style w:type="paragraph" w:customStyle="1" w:styleId="bTOC9">
    <w:name w:val="bTOC 9"/>
    <w:basedOn w:val="Normal"/>
    <w:semiHidden/>
    <w:rsid w:val="00F51AFB"/>
    <w:pPr>
      <w:keepNext/>
      <w:tabs>
        <w:tab w:val="right" w:leader="dot" w:pos="9072"/>
      </w:tabs>
      <w:spacing w:before="120" w:after="60" w:line="240" w:lineRule="auto"/>
      <w:ind w:left="4082" w:hanging="1247"/>
      <w:jc w:val="left"/>
    </w:pPr>
  </w:style>
  <w:style w:type="paragraph" w:customStyle="1" w:styleId="ListNo2">
    <w:name w:val="List No 2"/>
    <w:basedOn w:val="ListNo1"/>
    <w:rsid w:val="0052098C"/>
    <w:pPr>
      <w:numPr>
        <w:ilvl w:val="1"/>
      </w:numPr>
    </w:pPr>
  </w:style>
  <w:style w:type="paragraph" w:customStyle="1" w:styleId="ListNo3">
    <w:name w:val="List No 3"/>
    <w:basedOn w:val="ListNo2"/>
    <w:rsid w:val="0052098C"/>
    <w:pPr>
      <w:numPr>
        <w:ilvl w:val="2"/>
      </w:numPr>
    </w:pPr>
  </w:style>
  <w:style w:type="numbering" w:customStyle="1" w:styleId="FCListNo">
    <w:name w:val="FCListNo"/>
    <w:uiPriority w:val="99"/>
    <w:rsid w:val="0052098C"/>
    <w:pPr>
      <w:numPr>
        <w:numId w:val="16"/>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7"/>
      </w:numPr>
      <w:ind w:left="1440" w:hanging="720"/>
    </w:pPr>
  </w:style>
  <w:style w:type="paragraph" w:customStyle="1" w:styleId="Quote2Bullet">
    <w:name w:val="Quote2 Bullet"/>
    <w:basedOn w:val="Quote2"/>
    <w:rsid w:val="00EF3F84"/>
    <w:pPr>
      <w:numPr>
        <w:numId w:val="18"/>
      </w:numPr>
      <w:ind w:hanging="720"/>
    </w:pPr>
  </w:style>
  <w:style w:type="paragraph" w:customStyle="1" w:styleId="Quote3Bullet">
    <w:name w:val="Quote3 Bullet"/>
    <w:basedOn w:val="Quote3"/>
    <w:rsid w:val="00EE445B"/>
    <w:pPr>
      <w:numPr>
        <w:numId w:val="19"/>
      </w:numPr>
      <w:ind w:hanging="720"/>
    </w:pPr>
  </w:style>
  <w:style w:type="paragraph" w:customStyle="1" w:styleId="Order1">
    <w:name w:val="Order 1"/>
    <w:basedOn w:val="Normal"/>
    <w:rsid w:val="004104B6"/>
    <w:pPr>
      <w:numPr>
        <w:numId w:val="20"/>
      </w:numPr>
      <w:spacing w:before="60" w:after="60"/>
    </w:pPr>
  </w:style>
  <w:style w:type="numbering" w:customStyle="1" w:styleId="FCOrders">
    <w:name w:val="FCOrders"/>
    <w:uiPriority w:val="99"/>
    <w:rsid w:val="004104B6"/>
    <w:pPr>
      <w:numPr>
        <w:numId w:val="20"/>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customStyle="1" w:styleId="CourtTitle">
    <w:name w:val="CourtTitle"/>
    <w:basedOn w:val="NormalHeadings"/>
    <w:rsid w:val="00285922"/>
    <w:pPr>
      <w:jc w:val="center"/>
    </w:pPr>
    <w:rPr>
      <w:caps/>
      <w:sz w:val="32"/>
    </w:rPr>
  </w:style>
  <w:style w:type="paragraph" w:customStyle="1" w:styleId="MNC">
    <w:name w:val="MNC"/>
    <w:basedOn w:val="MediaNeutralStyle"/>
    <w:rsid w:val="00085255"/>
    <w:pPr>
      <w:spacing w:after="240"/>
    </w:pPr>
    <w:rPr>
      <w:sz w:val="28"/>
    </w:rPr>
  </w:style>
  <w:style w:type="paragraph" w:customStyle="1" w:styleId="Quote4">
    <w:name w:val="Quote4"/>
    <w:basedOn w:val="Quote1"/>
    <w:rsid w:val="00DF75E1"/>
    <w:pPr>
      <w:ind w:left="2880"/>
    </w:pPr>
  </w:style>
  <w:style w:type="paragraph" w:customStyle="1" w:styleId="Quote4Bullet">
    <w:name w:val="Quote4 Bullet"/>
    <w:basedOn w:val="Quote4"/>
    <w:rsid w:val="00EE445B"/>
    <w:pPr>
      <w:numPr>
        <w:numId w:val="21"/>
      </w:numPr>
      <w:ind w:hanging="720"/>
    </w:pPr>
  </w:style>
  <w:style w:type="character" w:styleId="PlaceholderText">
    <w:name w:val="Placeholder Text"/>
    <w:basedOn w:val="DefaultParagraphFont"/>
    <w:uiPriority w:val="99"/>
    <w:semiHidden/>
    <w:rsid w:val="00CF5A80"/>
    <w:rPr>
      <w:color w:val="808080"/>
    </w:rPr>
  </w:style>
  <w:style w:type="paragraph" w:customStyle="1" w:styleId="Order2">
    <w:name w:val="Order 2"/>
    <w:basedOn w:val="Order1"/>
    <w:rsid w:val="001351B9"/>
    <w:pPr>
      <w:numPr>
        <w:ilvl w:val="1"/>
      </w:numPr>
      <w:tabs>
        <w:tab w:val="clear" w:pos="1440"/>
      </w:tabs>
    </w:pPr>
  </w:style>
  <w:style w:type="paragraph" w:customStyle="1" w:styleId="Order3">
    <w:name w:val="Order 3"/>
    <w:basedOn w:val="Order2"/>
    <w:rsid w:val="00DD6957"/>
    <w:pPr>
      <w:numPr>
        <w:ilvl w:val="2"/>
      </w:numPr>
    </w:pPr>
  </w:style>
  <w:style w:type="paragraph" w:customStyle="1" w:styleId="ListNo1alt">
    <w:name w:val="List No 1 (alt)"/>
    <w:basedOn w:val="Normal"/>
    <w:rsid w:val="008A1741"/>
    <w:pPr>
      <w:numPr>
        <w:numId w:val="24"/>
      </w:numPr>
      <w:spacing w:before="60" w:after="60"/>
    </w:pPr>
  </w:style>
  <w:style w:type="paragraph" w:customStyle="1" w:styleId="ListNo2alt">
    <w:name w:val="List No 2 (alt)"/>
    <w:basedOn w:val="ListNo1alt"/>
    <w:rsid w:val="008A1741"/>
    <w:pPr>
      <w:numPr>
        <w:ilvl w:val="1"/>
      </w:numPr>
    </w:pPr>
  </w:style>
  <w:style w:type="paragraph" w:customStyle="1" w:styleId="ListNo3alt">
    <w:name w:val="List No 3 (alt)"/>
    <w:basedOn w:val="ListNo2alt"/>
    <w:rsid w:val="008A1741"/>
    <w:pPr>
      <w:numPr>
        <w:ilvl w:val="2"/>
      </w:numPr>
    </w:pPr>
  </w:style>
  <w:style w:type="numbering" w:customStyle="1" w:styleId="FCListNoalt">
    <w:name w:val="FC List No (alt)"/>
    <w:uiPriority w:val="99"/>
    <w:rsid w:val="008A1741"/>
    <w:pPr>
      <w:numPr>
        <w:numId w:val="23"/>
      </w:numPr>
    </w:pPr>
  </w:style>
  <w:style w:type="paragraph" w:customStyle="1" w:styleId="Order4">
    <w:name w:val="Order 4"/>
    <w:basedOn w:val="Order3"/>
    <w:rsid w:val="004104B6"/>
    <w:pPr>
      <w:numPr>
        <w:ilvl w:val="3"/>
      </w:numPr>
    </w:pPr>
  </w:style>
  <w:style w:type="paragraph" w:styleId="FootnoteText">
    <w:name w:val="footnote text"/>
    <w:basedOn w:val="Normal"/>
    <w:link w:val="FootnoteTextChar"/>
    <w:unhideWhenUsed/>
    <w:rsid w:val="00077768"/>
    <w:pPr>
      <w:spacing w:line="240" w:lineRule="auto"/>
    </w:pPr>
    <w:rPr>
      <w:sz w:val="20"/>
    </w:rPr>
  </w:style>
  <w:style w:type="character" w:customStyle="1" w:styleId="FootnoteTextChar">
    <w:name w:val="Footnote Text Char"/>
    <w:basedOn w:val="DefaultParagraphFont"/>
    <w:link w:val="FootnoteText"/>
    <w:rsid w:val="00077768"/>
    <w:rPr>
      <w:lang w:eastAsia="en-US"/>
    </w:rPr>
  </w:style>
  <w:style w:type="character" w:styleId="FootnoteReference">
    <w:name w:val="footnote reference"/>
    <w:basedOn w:val="DefaultParagraphFont"/>
    <w:unhideWhenUsed/>
    <w:rsid w:val="00077768"/>
    <w:rPr>
      <w:vertAlign w:val="superscript"/>
    </w:rPr>
  </w:style>
  <w:style w:type="paragraph" w:customStyle="1" w:styleId="FCBullets2">
    <w:name w:val="FCBullets2"/>
    <w:basedOn w:val="FCBullets"/>
    <w:rsid w:val="001C2FE0"/>
    <w:pPr>
      <w:numPr>
        <w:ilvl w:val="1"/>
      </w:numPr>
    </w:pPr>
  </w:style>
  <w:style w:type="numbering" w:customStyle="1" w:styleId="FCNotes">
    <w:name w:val="FCNotes"/>
    <w:uiPriority w:val="99"/>
    <w:rsid w:val="00805A30"/>
    <w:pPr>
      <w:numPr>
        <w:numId w:val="26"/>
      </w:numPr>
    </w:pPr>
  </w:style>
  <w:style w:type="paragraph" w:customStyle="1" w:styleId="Notes">
    <w:name w:val="Notes"/>
    <w:basedOn w:val="Normal"/>
    <w:rsid w:val="00805A30"/>
    <w:pPr>
      <w:numPr>
        <w:numId w:val="28"/>
      </w:numPr>
      <w:spacing w:before="60" w:after="60"/>
    </w:pPr>
  </w:style>
  <w:style w:type="paragraph" w:customStyle="1" w:styleId="OrdersHeading1">
    <w:name w:val="Orders Heading 1"/>
    <w:basedOn w:val="Normal"/>
    <w:next w:val="BodyText"/>
    <w:rsid w:val="001E0C61"/>
    <w:pPr>
      <w:keepNext/>
      <w:spacing w:before="240" w:after="180" w:line="240" w:lineRule="auto"/>
    </w:pPr>
    <w:rPr>
      <w:b/>
      <w:caps/>
    </w:rPr>
  </w:style>
  <w:style w:type="paragraph" w:customStyle="1" w:styleId="OrdersHeading2">
    <w:name w:val="Orders Heading 2"/>
    <w:basedOn w:val="Normal"/>
    <w:next w:val="BodyText"/>
    <w:rsid w:val="001E0C61"/>
    <w:pPr>
      <w:keepNext/>
      <w:spacing w:before="240" w:after="180" w:line="240" w:lineRule="auto"/>
    </w:pPr>
    <w:rPr>
      <w:b/>
    </w:rPr>
  </w:style>
  <w:style w:type="paragraph" w:customStyle="1" w:styleId="IndentParaLevel1">
    <w:name w:val="IndentParaLevel1"/>
    <w:basedOn w:val="Normal"/>
    <w:rsid w:val="00573AD3"/>
    <w:pPr>
      <w:numPr>
        <w:numId w:val="29"/>
      </w:numPr>
      <w:spacing w:after="240" w:line="240" w:lineRule="auto"/>
      <w:jc w:val="left"/>
    </w:pPr>
    <w:rPr>
      <w:rFonts w:ascii="Arial" w:eastAsia="Times New Roman" w:hAnsi="Arial"/>
      <w:sz w:val="20"/>
    </w:rPr>
  </w:style>
  <w:style w:type="paragraph" w:customStyle="1" w:styleId="CUNumber1">
    <w:name w:val="CU_Number1"/>
    <w:basedOn w:val="Normal"/>
    <w:rsid w:val="00573AD3"/>
    <w:pPr>
      <w:keepNext/>
      <w:numPr>
        <w:numId w:val="30"/>
      </w:numPr>
      <w:spacing w:after="240" w:line="240" w:lineRule="auto"/>
      <w:jc w:val="left"/>
      <w:outlineLvl w:val="0"/>
    </w:pPr>
    <w:rPr>
      <w:rFonts w:ascii="Arial" w:eastAsia="Times New Roman" w:hAnsi="Arial"/>
      <w:b/>
      <w:sz w:val="20"/>
    </w:rPr>
  </w:style>
  <w:style w:type="paragraph" w:customStyle="1" w:styleId="CUNumber2">
    <w:name w:val="CU_Number2"/>
    <w:basedOn w:val="Normal"/>
    <w:rsid w:val="00573AD3"/>
    <w:pPr>
      <w:numPr>
        <w:ilvl w:val="1"/>
        <w:numId w:val="30"/>
      </w:numPr>
      <w:tabs>
        <w:tab w:val="clear" w:pos="1674"/>
        <w:tab w:val="num" w:pos="964"/>
      </w:tabs>
      <w:spacing w:after="240" w:line="240" w:lineRule="auto"/>
      <w:ind w:left="964"/>
      <w:jc w:val="left"/>
      <w:outlineLvl w:val="1"/>
    </w:pPr>
    <w:rPr>
      <w:rFonts w:ascii="Arial" w:eastAsia="Times New Roman" w:hAnsi="Arial"/>
      <w:sz w:val="20"/>
    </w:rPr>
  </w:style>
  <w:style w:type="paragraph" w:customStyle="1" w:styleId="CUNumber3">
    <w:name w:val="CU_Number3"/>
    <w:basedOn w:val="Normal"/>
    <w:rsid w:val="00573AD3"/>
    <w:pPr>
      <w:numPr>
        <w:ilvl w:val="2"/>
        <w:numId w:val="30"/>
      </w:numPr>
      <w:spacing w:after="240" w:line="240" w:lineRule="auto"/>
      <w:jc w:val="left"/>
      <w:outlineLvl w:val="2"/>
    </w:pPr>
    <w:rPr>
      <w:rFonts w:ascii="Arial" w:eastAsia="Times New Roman" w:hAnsi="Arial"/>
      <w:sz w:val="20"/>
    </w:rPr>
  </w:style>
  <w:style w:type="paragraph" w:customStyle="1" w:styleId="CUNumber4">
    <w:name w:val="CU_Number4"/>
    <w:basedOn w:val="Normal"/>
    <w:rsid w:val="00573AD3"/>
    <w:pPr>
      <w:numPr>
        <w:ilvl w:val="3"/>
        <w:numId w:val="30"/>
      </w:numPr>
      <w:spacing w:after="240" w:line="240" w:lineRule="auto"/>
      <w:jc w:val="left"/>
      <w:outlineLvl w:val="3"/>
    </w:pPr>
    <w:rPr>
      <w:rFonts w:ascii="Arial" w:eastAsia="Times New Roman" w:hAnsi="Arial"/>
      <w:sz w:val="20"/>
    </w:rPr>
  </w:style>
  <w:style w:type="paragraph" w:customStyle="1" w:styleId="CUNumber5">
    <w:name w:val="CU_Number5"/>
    <w:basedOn w:val="Normal"/>
    <w:rsid w:val="00573AD3"/>
    <w:pPr>
      <w:numPr>
        <w:ilvl w:val="4"/>
        <w:numId w:val="30"/>
      </w:numPr>
      <w:spacing w:after="240" w:line="240" w:lineRule="auto"/>
      <w:jc w:val="left"/>
      <w:outlineLvl w:val="4"/>
    </w:pPr>
    <w:rPr>
      <w:rFonts w:ascii="Arial" w:eastAsia="Times New Roman" w:hAnsi="Arial"/>
      <w:sz w:val="20"/>
    </w:rPr>
  </w:style>
  <w:style w:type="paragraph" w:customStyle="1" w:styleId="CUNumber6">
    <w:name w:val="CU_Number6"/>
    <w:basedOn w:val="Normal"/>
    <w:rsid w:val="00573AD3"/>
    <w:pPr>
      <w:numPr>
        <w:ilvl w:val="5"/>
        <w:numId w:val="30"/>
      </w:numPr>
      <w:spacing w:after="240" w:line="240" w:lineRule="auto"/>
      <w:jc w:val="left"/>
      <w:outlineLvl w:val="5"/>
    </w:pPr>
    <w:rPr>
      <w:rFonts w:ascii="Arial" w:eastAsia="Times New Roman" w:hAnsi="Arial"/>
      <w:sz w:val="20"/>
    </w:rPr>
  </w:style>
  <w:style w:type="paragraph" w:customStyle="1" w:styleId="CUNumber7">
    <w:name w:val="CU_Number7"/>
    <w:basedOn w:val="Normal"/>
    <w:rsid w:val="00573AD3"/>
    <w:pPr>
      <w:numPr>
        <w:ilvl w:val="6"/>
        <w:numId w:val="30"/>
      </w:numPr>
      <w:spacing w:after="240" w:line="240" w:lineRule="auto"/>
      <w:jc w:val="left"/>
      <w:outlineLvl w:val="6"/>
    </w:pPr>
    <w:rPr>
      <w:rFonts w:ascii="Arial" w:eastAsia="Times New Roman" w:hAnsi="Arial"/>
      <w:sz w:val="20"/>
    </w:rPr>
  </w:style>
  <w:style w:type="paragraph" w:customStyle="1" w:styleId="CUNumber8">
    <w:name w:val="CU_Number8"/>
    <w:basedOn w:val="Normal"/>
    <w:rsid w:val="00573AD3"/>
    <w:pPr>
      <w:numPr>
        <w:ilvl w:val="7"/>
        <w:numId w:val="30"/>
      </w:numPr>
      <w:spacing w:after="240" w:line="240" w:lineRule="auto"/>
      <w:jc w:val="left"/>
      <w:outlineLvl w:val="7"/>
    </w:pPr>
    <w:rPr>
      <w:rFonts w:ascii="Arial" w:eastAsia="Times New Roman" w:hAnsi="Arial"/>
      <w:sz w:val="20"/>
    </w:rPr>
  </w:style>
  <w:style w:type="paragraph" w:customStyle="1" w:styleId="IndentParaLevel2">
    <w:name w:val="IndentParaLevel2"/>
    <w:basedOn w:val="Normal"/>
    <w:rsid w:val="00573AD3"/>
    <w:pPr>
      <w:numPr>
        <w:ilvl w:val="1"/>
        <w:numId w:val="29"/>
      </w:numPr>
      <w:spacing w:after="240" w:line="240" w:lineRule="auto"/>
      <w:jc w:val="left"/>
    </w:pPr>
    <w:rPr>
      <w:rFonts w:ascii="Arial" w:eastAsia="Times New Roman" w:hAnsi="Arial"/>
      <w:sz w:val="20"/>
    </w:rPr>
  </w:style>
  <w:style w:type="paragraph" w:customStyle="1" w:styleId="IndentParaLevel3">
    <w:name w:val="IndentParaLevel3"/>
    <w:basedOn w:val="Normal"/>
    <w:rsid w:val="00573AD3"/>
    <w:pPr>
      <w:numPr>
        <w:ilvl w:val="2"/>
        <w:numId w:val="29"/>
      </w:numPr>
      <w:spacing w:after="240" w:line="240" w:lineRule="auto"/>
      <w:jc w:val="left"/>
    </w:pPr>
    <w:rPr>
      <w:rFonts w:ascii="Arial" w:eastAsia="Times New Roman" w:hAnsi="Arial"/>
      <w:sz w:val="20"/>
    </w:rPr>
  </w:style>
  <w:style w:type="paragraph" w:customStyle="1" w:styleId="IndentParaLevel4">
    <w:name w:val="IndentParaLevel4"/>
    <w:basedOn w:val="Normal"/>
    <w:rsid w:val="00573AD3"/>
    <w:pPr>
      <w:numPr>
        <w:ilvl w:val="3"/>
        <w:numId w:val="29"/>
      </w:numPr>
      <w:spacing w:after="240" w:line="240" w:lineRule="auto"/>
      <w:jc w:val="left"/>
    </w:pPr>
    <w:rPr>
      <w:rFonts w:ascii="Arial" w:eastAsia="Times New Roman" w:hAnsi="Arial"/>
      <w:sz w:val="20"/>
    </w:rPr>
  </w:style>
  <w:style w:type="paragraph" w:customStyle="1" w:styleId="IndentParaLevel5">
    <w:name w:val="IndentParaLevel5"/>
    <w:basedOn w:val="Normal"/>
    <w:rsid w:val="00573AD3"/>
    <w:pPr>
      <w:numPr>
        <w:ilvl w:val="4"/>
        <w:numId w:val="29"/>
      </w:numPr>
      <w:spacing w:after="240" w:line="240" w:lineRule="auto"/>
      <w:jc w:val="left"/>
    </w:pPr>
    <w:rPr>
      <w:rFonts w:ascii="Arial" w:eastAsia="Times New Roman" w:hAnsi="Arial"/>
      <w:sz w:val="20"/>
    </w:rPr>
  </w:style>
  <w:style w:type="paragraph" w:customStyle="1" w:styleId="IndentParaLevel6">
    <w:name w:val="IndentParaLevel6"/>
    <w:basedOn w:val="Normal"/>
    <w:rsid w:val="00573AD3"/>
    <w:pPr>
      <w:numPr>
        <w:ilvl w:val="5"/>
        <w:numId w:val="29"/>
      </w:numPr>
      <w:spacing w:after="240" w:line="240" w:lineRule="auto"/>
      <w:jc w:val="left"/>
    </w:pPr>
    <w:rPr>
      <w:rFonts w:ascii="Arial" w:eastAsia="Times New Roman" w:hAnsi="Arial"/>
      <w:sz w:val="20"/>
    </w:rPr>
  </w:style>
  <w:style w:type="character" w:customStyle="1" w:styleId="SubtitleChar">
    <w:name w:val="Subtitle Char"/>
    <w:basedOn w:val="DefaultParagraphFont"/>
    <w:link w:val="Subtitle"/>
    <w:rsid w:val="00573AD3"/>
    <w:rPr>
      <w:rFonts w:ascii="Arial" w:hAnsi="Arial" w:cs="Arial"/>
      <w:sz w:val="24"/>
      <w:szCs w:val="24"/>
      <w:lang w:eastAsia="en-US"/>
    </w:rPr>
  </w:style>
  <w:style w:type="numbering" w:customStyle="1" w:styleId="CUIndent">
    <w:name w:val="CU_Indent"/>
    <w:uiPriority w:val="99"/>
    <w:rsid w:val="00573AD3"/>
    <w:pPr>
      <w:numPr>
        <w:numId w:val="29"/>
      </w:numPr>
    </w:pPr>
  </w:style>
  <w:style w:type="paragraph" w:styleId="Revision">
    <w:name w:val="Revision"/>
    <w:hidden/>
    <w:uiPriority w:val="99"/>
    <w:semiHidden/>
    <w:rsid w:val="00D37C76"/>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874633">
      <w:bodyDiv w:val="1"/>
      <w:marLeft w:val="0"/>
      <w:marRight w:val="0"/>
      <w:marTop w:val="0"/>
      <w:marBottom w:val="0"/>
      <w:divBdr>
        <w:top w:val="none" w:sz="0" w:space="0" w:color="auto"/>
        <w:left w:val="none" w:sz="0" w:space="0" w:color="auto"/>
        <w:bottom w:val="none" w:sz="0" w:space="0" w:color="auto"/>
        <w:right w:val="none" w:sz="0" w:space="0" w:color="auto"/>
      </w:divBdr>
    </w:div>
    <w:div w:id="1359235966">
      <w:bodyDiv w:val="1"/>
      <w:marLeft w:val="0"/>
      <w:marRight w:val="0"/>
      <w:marTop w:val="0"/>
      <w:marBottom w:val="0"/>
      <w:divBdr>
        <w:top w:val="none" w:sz="0" w:space="0" w:color="auto"/>
        <w:left w:val="none" w:sz="0" w:space="0" w:color="auto"/>
        <w:bottom w:val="none" w:sz="0" w:space="0" w:color="auto"/>
        <w:right w:val="none" w:sz="0" w:space="0" w:color="auto"/>
      </w:divBdr>
    </w:div>
    <w:div w:id="1687558306">
      <w:bodyDiv w:val="1"/>
      <w:marLeft w:val="0"/>
      <w:marRight w:val="0"/>
      <w:marTop w:val="0"/>
      <w:marBottom w:val="0"/>
      <w:divBdr>
        <w:top w:val="none" w:sz="0" w:space="0" w:color="auto"/>
        <w:left w:val="none" w:sz="0" w:space="0" w:color="auto"/>
        <w:bottom w:val="none" w:sz="0" w:space="0" w:color="auto"/>
        <w:right w:val="none" w:sz="0" w:space="0" w:color="auto"/>
      </w:divBdr>
    </w:div>
    <w:div w:id="1897930738">
      <w:bodyDiv w:val="1"/>
      <w:marLeft w:val="0"/>
      <w:marRight w:val="0"/>
      <w:marTop w:val="0"/>
      <w:marBottom w:val="0"/>
      <w:divBdr>
        <w:top w:val="none" w:sz="0" w:space="0" w:color="auto"/>
        <w:left w:val="none" w:sz="0" w:space="0" w:color="auto"/>
        <w:bottom w:val="none" w:sz="0" w:space="0" w:color="auto"/>
        <w:right w:val="none" w:sz="0" w:space="0" w:color="auto"/>
      </w:divBdr>
    </w:div>
    <w:div w:id="2135512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g"/><Relationship Id="rId26" Type="http://schemas.openxmlformats.org/officeDocument/2006/relationships/header" Target="header7.xm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g"/><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6.jp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jpg"/><Relationship Id="rId23" Type="http://schemas.openxmlformats.org/officeDocument/2006/relationships/header" Target="header5.xml"/><Relationship Id="rId28" Type="http://schemas.openxmlformats.org/officeDocument/2006/relationships/header" Target="header8.xml"/><Relationship Id="rId10" Type="http://schemas.openxmlformats.org/officeDocument/2006/relationships/header" Target="header2.xml"/><Relationship Id="rId19" Type="http://schemas.openxmlformats.org/officeDocument/2006/relationships/image" Target="media/image5.jpg"/><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Judg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47690DF32F7490FA48C4056E10E422B"/>
        <w:category>
          <w:name w:val="General"/>
          <w:gallery w:val="placeholder"/>
        </w:category>
        <w:types>
          <w:type w:val="bbPlcHdr"/>
        </w:types>
        <w:behaviors>
          <w:behavior w:val="content"/>
        </w:behaviors>
        <w:guid w:val="{25C47CDF-D294-468F-B803-A0A44A9E2911}"/>
      </w:docPartPr>
      <w:docPartBody>
        <w:p w:rsidR="00DB1714" w:rsidRDefault="00E75FE1">
          <w:pPr>
            <w:pStyle w:val="B47690DF32F7490FA48C4056E10E422B"/>
          </w:pPr>
          <w:r>
            <w:rPr>
              <w:rStyle w:val="PlaceholderText"/>
            </w:rPr>
            <w:t>MNC Text</w:t>
          </w:r>
        </w:p>
      </w:docPartBody>
    </w:docPart>
    <w:docPart>
      <w:docPartPr>
        <w:name w:val="579A84A6904D44868532868ED3454A16"/>
        <w:category>
          <w:name w:val="General"/>
          <w:gallery w:val="placeholder"/>
        </w:category>
        <w:types>
          <w:type w:val="bbPlcHdr"/>
        </w:types>
        <w:behaviors>
          <w:behavior w:val="content"/>
        </w:behaviors>
        <w:guid w:val="{D658C830-15CE-4C44-80F2-D24530DB40BD}"/>
      </w:docPartPr>
      <w:docPartBody>
        <w:p w:rsidR="00DB1714" w:rsidRDefault="00E75FE1">
          <w:pPr>
            <w:pStyle w:val="579A84A6904D44868532868ED3454A16"/>
          </w:pPr>
          <w:r w:rsidRPr="005C44BE">
            <w:rPr>
              <w:rStyle w:val="PlaceholderText"/>
            </w:rPr>
            <w:t>Click or tap here to enter text.</w:t>
          </w:r>
        </w:p>
      </w:docPartBody>
    </w:docPart>
    <w:docPart>
      <w:docPartPr>
        <w:name w:val="9A2F30BFE7A242619FAC046F72CE0544"/>
        <w:category>
          <w:name w:val="General"/>
          <w:gallery w:val="placeholder"/>
        </w:category>
        <w:types>
          <w:type w:val="bbPlcHdr"/>
        </w:types>
        <w:behaviors>
          <w:behavior w:val="content"/>
        </w:behaviors>
        <w:guid w:val="{61EBB850-2ADB-44C0-9B6D-48F7E6CFE5E6}"/>
      </w:docPartPr>
      <w:docPartBody>
        <w:p w:rsidR="00DB1714" w:rsidRDefault="00E75FE1">
          <w:pPr>
            <w:pStyle w:val="9A2F30BFE7A242619FAC046F72CE0544"/>
          </w:pPr>
          <w:r w:rsidRPr="005C44BE">
            <w:rPr>
              <w:rStyle w:val="PlaceholderText"/>
            </w:rPr>
            <w:t>Click or tap here to enter text.</w:t>
          </w:r>
        </w:p>
      </w:docPartBody>
    </w:docPart>
    <w:docPart>
      <w:docPartPr>
        <w:name w:val="45FC650237294DE29E4711166AEDA3D1"/>
        <w:category>
          <w:name w:val="General"/>
          <w:gallery w:val="placeholder"/>
        </w:category>
        <w:types>
          <w:type w:val="bbPlcHdr"/>
        </w:types>
        <w:behaviors>
          <w:behavior w:val="content"/>
        </w:behaviors>
        <w:guid w:val="{FAA754FF-6334-4C7F-A9A7-B4D0F1855705}"/>
      </w:docPartPr>
      <w:docPartBody>
        <w:p w:rsidR="00DB1714" w:rsidRDefault="00E75FE1">
          <w:pPr>
            <w:pStyle w:val="45FC650237294DE29E4711166AEDA3D1"/>
          </w:pPr>
          <w:r w:rsidRPr="005C44BE">
            <w:rPr>
              <w:rStyle w:val="PlaceholderText"/>
            </w:rPr>
            <w:t>Click or tap here to enter text.</w:t>
          </w:r>
        </w:p>
      </w:docPartBody>
    </w:docPart>
    <w:docPart>
      <w:docPartPr>
        <w:name w:val="F2A4848C85BE45BF889542B6CE28C51C"/>
        <w:category>
          <w:name w:val="General"/>
          <w:gallery w:val="placeholder"/>
        </w:category>
        <w:types>
          <w:type w:val="bbPlcHdr"/>
        </w:types>
        <w:behaviors>
          <w:behavior w:val="content"/>
        </w:behaviors>
        <w:guid w:val="{ABC043FC-FC0D-48B4-9BB3-7062F820C42B}"/>
      </w:docPartPr>
      <w:docPartBody>
        <w:p w:rsidR="00DB1714" w:rsidRDefault="00E75FE1">
          <w:pPr>
            <w:pStyle w:val="F2A4848C85BE45BF889542B6CE28C51C"/>
          </w:pPr>
          <w:r w:rsidRPr="005C44B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00000000"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FE1"/>
    <w:rsid w:val="00063A38"/>
    <w:rsid w:val="002F4A5A"/>
    <w:rsid w:val="004664FE"/>
    <w:rsid w:val="004B1BAA"/>
    <w:rsid w:val="004E0E56"/>
    <w:rsid w:val="00545087"/>
    <w:rsid w:val="009F5DB2"/>
    <w:rsid w:val="00C27AB9"/>
    <w:rsid w:val="00C61501"/>
    <w:rsid w:val="00D974EC"/>
    <w:rsid w:val="00DB1714"/>
    <w:rsid w:val="00E75F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47690DF32F7490FA48C4056E10E422B">
    <w:name w:val="B47690DF32F7490FA48C4056E10E422B"/>
  </w:style>
  <w:style w:type="paragraph" w:customStyle="1" w:styleId="579A84A6904D44868532868ED3454A16">
    <w:name w:val="579A84A6904D44868532868ED3454A16"/>
  </w:style>
  <w:style w:type="paragraph" w:customStyle="1" w:styleId="9A2F30BFE7A242619FAC046F72CE0544">
    <w:name w:val="9A2F30BFE7A242619FAC046F72CE0544"/>
  </w:style>
  <w:style w:type="paragraph" w:customStyle="1" w:styleId="45FC650237294DE29E4711166AEDA3D1">
    <w:name w:val="45FC650237294DE29E4711166AEDA3D1"/>
  </w:style>
  <w:style w:type="paragraph" w:customStyle="1" w:styleId="F2A4848C85BE45BF889542B6CE28C51C">
    <w:name w:val="F2A4848C85BE45BF889542B6CE28C5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xmlns="http://schemas.globalmacros.com/FCA">
  <Name> Application by Port of Newcastle Operations Pty Ltd (No 3) [2022] ACompT 2  </Name>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E7CCB-4AA5-44E7-B148-17BA2B6F57C0}">
  <ds:schemaRefs>
    <ds:schemaRef ds:uri="http://schemas.globalmacros.com/FCA"/>
  </ds:schemaRefs>
</ds:datastoreItem>
</file>

<file path=customXml/itemProps2.xml><?xml version="1.0" encoding="utf-8"?>
<ds:datastoreItem xmlns:ds="http://schemas.openxmlformats.org/officeDocument/2006/customXml" ds:itemID="{D16F1B0B-2021-44FB-8D1D-5A7459E1F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0</TotalTime>
  <Pages>21</Pages>
  <Words>5568</Words>
  <Characters>27841</Characters>
  <Application>Microsoft Office Word</Application>
  <DocSecurity>0</DocSecurity>
  <PresentationFormat/>
  <Lines>568</Lines>
  <Paragraphs>173</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Application by Port of Newcastle Operations Pty Ltd (No 3) [2022] ACompT 2  </vt:lpstr>
    </vt:vector>
  </TitlesOfParts>
  <Manager/>
  <Company/>
  <LinksUpToDate>false</LinksUpToDate>
  <CharactersWithSpaces>33236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2006-02-06T01:31:00Z</cp:lastPrinted>
  <dcterms:created xsi:type="dcterms:W3CDTF">2022-04-05T04:21:00Z</dcterms:created>
  <dcterms:modified xsi:type="dcterms:W3CDTF">2022-04-05T04:21:00Z</dcterms:modified>
  <cp:category/>
  <cp:contentStatus/>
  <dc:language/>
  <cp:version/>
</cp:coreProperties>
</file>